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BBADB3" w14:textId="4D6607F2" w:rsidR="00E90E49" w:rsidRPr="00936C1E" w:rsidRDefault="00E90E49" w:rsidP="00E35559">
      <w:pPr>
        <w:pStyle w:val="3GPPHeader"/>
        <w:spacing w:after="60"/>
        <w:rPr>
          <w:sz w:val="32"/>
          <w:szCs w:val="32"/>
          <w:highlight w:val="yellow"/>
          <w:lang w:val="en-US"/>
        </w:rPr>
      </w:pPr>
      <w:bookmarkStart w:id="0" w:name="_GoBack"/>
      <w:bookmarkEnd w:id="0"/>
      <w:r w:rsidRPr="00936C1E">
        <w:rPr>
          <w:lang w:val="en-US"/>
        </w:rPr>
        <w:t>3GPP TSG-RAN WG</w:t>
      </w:r>
      <w:r w:rsidR="007730BD" w:rsidRPr="00936C1E">
        <w:rPr>
          <w:lang w:val="en-US"/>
        </w:rPr>
        <w:t>2</w:t>
      </w:r>
      <w:r w:rsidRPr="00936C1E">
        <w:rPr>
          <w:lang w:val="en-US"/>
        </w:rPr>
        <w:t xml:space="preserve"> #</w:t>
      </w:r>
      <w:r w:rsidR="00AE3743" w:rsidRPr="00936C1E">
        <w:rPr>
          <w:lang w:val="en-US"/>
        </w:rPr>
        <w:t>9</w:t>
      </w:r>
      <w:r w:rsidR="0035491B" w:rsidRPr="00936C1E">
        <w:rPr>
          <w:lang w:val="en-US"/>
        </w:rPr>
        <w:t>9</w:t>
      </w:r>
      <w:r w:rsidRPr="00936C1E">
        <w:rPr>
          <w:lang w:val="en-US"/>
        </w:rPr>
        <w:tab/>
      </w:r>
      <w:r w:rsidRPr="00936C1E">
        <w:rPr>
          <w:sz w:val="32"/>
          <w:szCs w:val="32"/>
          <w:lang w:val="en-US"/>
        </w:rPr>
        <w:t xml:space="preserve">Tdoc </w:t>
      </w:r>
      <w:r w:rsidR="00091557" w:rsidRPr="00936C1E">
        <w:rPr>
          <w:sz w:val="32"/>
          <w:szCs w:val="32"/>
          <w:lang w:val="en-US"/>
        </w:rPr>
        <w:t>R2-</w:t>
      </w:r>
      <w:r w:rsidR="005F3025" w:rsidRPr="00936C1E">
        <w:rPr>
          <w:sz w:val="32"/>
          <w:szCs w:val="32"/>
          <w:lang w:val="en-US"/>
        </w:rPr>
        <w:t>1</w:t>
      </w:r>
      <w:r w:rsidR="000039F4" w:rsidRPr="00936C1E">
        <w:rPr>
          <w:sz w:val="32"/>
          <w:szCs w:val="32"/>
          <w:lang w:val="en-US"/>
        </w:rPr>
        <w:t>7</w:t>
      </w:r>
      <w:r w:rsidR="00860E65">
        <w:rPr>
          <w:sz w:val="32"/>
          <w:szCs w:val="32"/>
          <w:lang w:val="en-US"/>
        </w:rPr>
        <w:t>08197</w:t>
      </w:r>
    </w:p>
    <w:p w14:paraId="7603AD5A" w14:textId="77777777" w:rsidR="00E90E49" w:rsidRPr="00936C1E" w:rsidRDefault="0035491B" w:rsidP="00311702">
      <w:pPr>
        <w:pStyle w:val="3GPPHeader"/>
        <w:rPr>
          <w:lang w:val="en-US"/>
        </w:rPr>
      </w:pPr>
      <w:r w:rsidRPr="00936C1E">
        <w:rPr>
          <w:lang w:val="en-US"/>
        </w:rPr>
        <w:t>Berlin, Germany, 21</w:t>
      </w:r>
      <w:r w:rsidRPr="00936C1E">
        <w:rPr>
          <w:vertAlign w:val="superscript"/>
          <w:lang w:val="en-US"/>
        </w:rPr>
        <w:t>st</w:t>
      </w:r>
      <w:r w:rsidRPr="00936C1E">
        <w:rPr>
          <w:lang w:val="en-US"/>
        </w:rPr>
        <w:t xml:space="preserve"> – 25</w:t>
      </w:r>
      <w:r w:rsidRPr="00936C1E">
        <w:rPr>
          <w:vertAlign w:val="superscript"/>
          <w:lang w:val="en-US"/>
        </w:rPr>
        <w:t>th</w:t>
      </w:r>
      <w:r w:rsidRPr="00936C1E">
        <w:rPr>
          <w:lang w:val="en-US"/>
        </w:rPr>
        <w:t xml:space="preserve"> August 2017</w:t>
      </w:r>
    </w:p>
    <w:p w14:paraId="061E4352" w14:textId="77777777" w:rsidR="00E90E49" w:rsidRPr="00936C1E" w:rsidRDefault="00E90E49" w:rsidP="00357380">
      <w:pPr>
        <w:pStyle w:val="3GPPHeader"/>
        <w:rPr>
          <w:lang w:val="en-US"/>
        </w:rPr>
      </w:pPr>
    </w:p>
    <w:p w14:paraId="52094A60" w14:textId="55E4DFCB" w:rsidR="00E90E49" w:rsidRPr="00860E65" w:rsidRDefault="00E90E49" w:rsidP="00311702">
      <w:pPr>
        <w:pStyle w:val="3GPPHeader"/>
        <w:rPr>
          <w:sz w:val="22"/>
          <w:szCs w:val="22"/>
          <w:lang w:val="en-US"/>
        </w:rPr>
      </w:pPr>
      <w:r w:rsidRPr="00860E65">
        <w:rPr>
          <w:sz w:val="22"/>
          <w:szCs w:val="22"/>
          <w:lang w:val="en-US"/>
        </w:rPr>
        <w:t>Agenda Item:</w:t>
      </w:r>
      <w:r w:rsidRPr="00860E65">
        <w:rPr>
          <w:sz w:val="22"/>
          <w:szCs w:val="22"/>
          <w:lang w:val="en-US"/>
        </w:rPr>
        <w:tab/>
      </w:r>
      <w:r w:rsidR="005C5B90" w:rsidRPr="00860E65">
        <w:rPr>
          <w:sz w:val="22"/>
          <w:szCs w:val="22"/>
          <w:lang w:val="en-US"/>
        </w:rPr>
        <w:t>10.3.1.5</w:t>
      </w:r>
    </w:p>
    <w:p w14:paraId="49771772" w14:textId="77777777" w:rsidR="00E90E49" w:rsidRPr="00860E65" w:rsidRDefault="003D3C45" w:rsidP="00F64C2B">
      <w:pPr>
        <w:pStyle w:val="3GPPHeader"/>
        <w:rPr>
          <w:sz w:val="22"/>
          <w:szCs w:val="22"/>
          <w:lang w:val="en-US"/>
        </w:rPr>
      </w:pPr>
      <w:r w:rsidRPr="00860E65">
        <w:rPr>
          <w:sz w:val="22"/>
          <w:szCs w:val="22"/>
          <w:lang w:val="en-US"/>
        </w:rPr>
        <w:t>Source:</w:t>
      </w:r>
      <w:r w:rsidR="00E90E49" w:rsidRPr="00860E65">
        <w:rPr>
          <w:sz w:val="22"/>
          <w:szCs w:val="22"/>
          <w:lang w:val="en-US"/>
        </w:rPr>
        <w:tab/>
      </w:r>
      <w:r w:rsidR="00F64C2B" w:rsidRPr="00860E65">
        <w:rPr>
          <w:sz w:val="22"/>
          <w:szCs w:val="22"/>
          <w:lang w:val="en-US"/>
        </w:rPr>
        <w:t>Ericsson</w:t>
      </w:r>
    </w:p>
    <w:p w14:paraId="78CB50B2" w14:textId="6B996504" w:rsidR="00E90E49" w:rsidRPr="00860E65" w:rsidRDefault="003D3C45" w:rsidP="00311702">
      <w:pPr>
        <w:pStyle w:val="3GPPHeader"/>
        <w:rPr>
          <w:sz w:val="22"/>
          <w:szCs w:val="22"/>
          <w:lang w:val="en-US"/>
        </w:rPr>
      </w:pPr>
      <w:r w:rsidRPr="00860E65">
        <w:rPr>
          <w:sz w:val="22"/>
          <w:szCs w:val="22"/>
          <w:lang w:val="en-US"/>
        </w:rPr>
        <w:t>Title:</w:t>
      </w:r>
      <w:r w:rsidR="00E90E49" w:rsidRPr="00860E65">
        <w:rPr>
          <w:sz w:val="22"/>
          <w:szCs w:val="22"/>
          <w:lang w:val="en-US"/>
        </w:rPr>
        <w:tab/>
      </w:r>
      <w:r w:rsidR="00EC17D5" w:rsidRPr="00860E65">
        <w:rPr>
          <w:sz w:val="22"/>
          <w:szCs w:val="22"/>
          <w:lang w:val="en-US"/>
        </w:rPr>
        <w:t>SR failure handling</w:t>
      </w:r>
    </w:p>
    <w:p w14:paraId="2AE3A62A" w14:textId="5976599C" w:rsidR="00E90E49" w:rsidRDefault="00E90E49" w:rsidP="00D546FF">
      <w:pPr>
        <w:pStyle w:val="3GPPHeader"/>
        <w:rPr>
          <w:sz w:val="22"/>
          <w:szCs w:val="22"/>
          <w:lang w:val="en-US"/>
        </w:rPr>
      </w:pPr>
      <w:r w:rsidRPr="00860E65">
        <w:rPr>
          <w:sz w:val="22"/>
          <w:szCs w:val="22"/>
          <w:lang w:val="en-US"/>
        </w:rPr>
        <w:t>Document for:</w:t>
      </w:r>
      <w:r w:rsidRPr="00860E65">
        <w:rPr>
          <w:sz w:val="22"/>
          <w:szCs w:val="22"/>
          <w:lang w:val="en-US"/>
        </w:rPr>
        <w:tab/>
        <w:t>Discussion, Decision</w:t>
      </w:r>
    </w:p>
    <w:p w14:paraId="2C589C40" w14:textId="77777777" w:rsidR="00860E65" w:rsidRPr="00860E65" w:rsidRDefault="00860E65" w:rsidP="00D546FF">
      <w:pPr>
        <w:pStyle w:val="3GPPHeader"/>
        <w:rPr>
          <w:sz w:val="22"/>
          <w:szCs w:val="22"/>
          <w:lang w:val="en-US"/>
        </w:rPr>
      </w:pPr>
    </w:p>
    <w:p w14:paraId="5F5E684E" w14:textId="4B57C319" w:rsidR="00C24345" w:rsidRPr="00936C1E" w:rsidRDefault="00E90E49" w:rsidP="00A2052C">
      <w:pPr>
        <w:pStyle w:val="Heading1"/>
        <w:rPr>
          <w:lang w:val="en-US"/>
        </w:rPr>
      </w:pPr>
      <w:r w:rsidRPr="00936C1E">
        <w:rPr>
          <w:lang w:val="en-US"/>
        </w:rPr>
        <w:t>Introduction</w:t>
      </w:r>
    </w:p>
    <w:p w14:paraId="73ADE286" w14:textId="55FB49D7" w:rsidR="006B1FCF" w:rsidRPr="00936C1E" w:rsidRDefault="006B1FCF" w:rsidP="006B1FCF">
      <w:pPr>
        <w:rPr>
          <w:lang w:val="en-US"/>
        </w:rPr>
      </w:pPr>
      <w:r w:rsidRPr="00936C1E">
        <w:rPr>
          <w:bCs/>
          <w:lang w:val="en-US"/>
        </w:rPr>
        <w:t xml:space="preserve">In #RAN2 </w:t>
      </w:r>
      <w:r w:rsidR="00192AEB" w:rsidRPr="00936C1E">
        <w:rPr>
          <w:lang w:val="en-US"/>
        </w:rPr>
        <w:t>Ad Hoc held on 27th – 29th June 2017,</w:t>
      </w:r>
      <w:r w:rsidRPr="00936C1E">
        <w:rPr>
          <w:bCs/>
          <w:lang w:val="en-US"/>
        </w:rPr>
        <w:t xml:space="preserve"> some agreements related to </w:t>
      </w:r>
      <w:r w:rsidRPr="00936C1E">
        <w:rPr>
          <w:lang w:val="en-US"/>
        </w:rPr>
        <w:t xml:space="preserve">SR were reached. </w:t>
      </w:r>
    </w:p>
    <w:p w14:paraId="70D81D32" w14:textId="77777777" w:rsidR="006B1FCF" w:rsidRPr="00936C1E" w:rsidRDefault="006B1FCF" w:rsidP="006B1FCF">
      <w:pPr>
        <w:pStyle w:val="Doc-text2"/>
        <w:pBdr>
          <w:top w:val="single" w:sz="4" w:space="1" w:color="auto"/>
          <w:left w:val="single" w:sz="4" w:space="4" w:color="auto"/>
          <w:bottom w:val="single" w:sz="4" w:space="1" w:color="auto"/>
          <w:right w:val="single" w:sz="4" w:space="4" w:color="auto"/>
        </w:pBdr>
        <w:rPr>
          <w:b/>
          <w:lang w:val="en-US"/>
        </w:rPr>
      </w:pPr>
      <w:r w:rsidRPr="00936C1E">
        <w:rPr>
          <w:b/>
          <w:lang w:val="en-US"/>
        </w:rPr>
        <w:t>Agreements</w:t>
      </w:r>
    </w:p>
    <w:p w14:paraId="2DE5045F" w14:textId="77777777" w:rsidR="006B1FCF" w:rsidRPr="00936C1E" w:rsidRDefault="006B1FCF" w:rsidP="006B1FCF">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936C1E">
        <w:rPr>
          <w:lang w:val="en-US"/>
        </w:rPr>
        <w:t xml:space="preserve">In case multiple SRs are configured, for each LCH, there will be a mapping between LCHs and SR configuration and the mapping should be configured by RRC signalling.  FFS if grouping is needed.  </w:t>
      </w:r>
    </w:p>
    <w:p w14:paraId="45E57811" w14:textId="77777777" w:rsidR="006B1FCF" w:rsidRPr="00936C1E" w:rsidRDefault="006B1FCF" w:rsidP="006B1FCF">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936C1E">
        <w:rPr>
          <w:lang w:val="en-US"/>
        </w:rPr>
        <w:t xml:space="preserve">A logical channel can be mapped to none or one SR configuration.  FFS if a logical channel can be mapped to more than one SR configuration.  </w:t>
      </w:r>
    </w:p>
    <w:p w14:paraId="0F3C0FED" w14:textId="77777777" w:rsidR="006B1FCF" w:rsidRPr="00936C1E" w:rsidRDefault="006B1FCF" w:rsidP="006B1FCF">
      <w:pPr>
        <w:pStyle w:val="Doc-text2"/>
        <w:pBdr>
          <w:top w:val="single" w:sz="4" w:space="1" w:color="auto"/>
          <w:left w:val="single" w:sz="4" w:space="4" w:color="auto"/>
          <w:bottom w:val="single" w:sz="4" w:space="1" w:color="auto"/>
          <w:right w:val="single" w:sz="4" w:space="4" w:color="auto"/>
        </w:pBdr>
        <w:rPr>
          <w:lang w:val="en-US"/>
        </w:rPr>
      </w:pPr>
    </w:p>
    <w:p w14:paraId="5180D3FF" w14:textId="77777777" w:rsidR="00192AEB" w:rsidRPr="00936C1E" w:rsidRDefault="00192AEB" w:rsidP="006B1FCF">
      <w:pPr>
        <w:spacing w:after="180"/>
        <w:rPr>
          <w:rFonts w:cs="Arial"/>
          <w:lang w:val="en-US" w:eastAsia="ja-JP"/>
        </w:rPr>
      </w:pPr>
    </w:p>
    <w:p w14:paraId="22573224" w14:textId="293069C3" w:rsidR="006B1FCF" w:rsidRPr="00936C1E" w:rsidRDefault="006B1FCF" w:rsidP="006B1FCF">
      <w:pPr>
        <w:spacing w:after="180"/>
        <w:rPr>
          <w:rFonts w:cs="Arial"/>
          <w:lang w:val="en-US" w:eastAsia="ja-JP"/>
        </w:rPr>
      </w:pPr>
      <w:r w:rsidRPr="00936C1E">
        <w:rPr>
          <w:rFonts w:cs="Arial"/>
          <w:lang w:val="en-US" w:eastAsia="ja-JP"/>
        </w:rPr>
        <w:t xml:space="preserve">In LTE, </w:t>
      </w:r>
      <w:r w:rsidR="00936C1E">
        <w:rPr>
          <w:rFonts w:cs="Arial"/>
          <w:lang w:val="en-US" w:eastAsia="ja-JP"/>
        </w:rPr>
        <w:t>if</w:t>
      </w:r>
      <w:r w:rsidRPr="00936C1E">
        <w:rPr>
          <w:rFonts w:cs="Arial"/>
          <w:lang w:val="en-US" w:eastAsia="ja-JP"/>
        </w:rPr>
        <w:t xml:space="preserve"> an SR is triggered and there is no other SR pending, the MAC entity shall set the SR_COUNTER to 0. </w:t>
      </w:r>
      <w:r w:rsidR="006F2D23" w:rsidRPr="00936C1E">
        <w:rPr>
          <w:rFonts w:cs="Arial"/>
          <w:lang w:val="en-US" w:eastAsia="ja-JP"/>
        </w:rPr>
        <w:t xml:space="preserve"> </w:t>
      </w:r>
      <w:r w:rsidRPr="00936C1E">
        <w:rPr>
          <w:rFonts w:cs="Arial"/>
          <w:lang w:val="en-US" w:eastAsia="ja-JP"/>
        </w:rPr>
        <w:t>As long as one SR is pending, the MAC entity shall for each TTI:</w:t>
      </w:r>
    </w:p>
    <w:p w14:paraId="062B5D28" w14:textId="77777777" w:rsidR="006B1FCF" w:rsidRPr="00936C1E" w:rsidRDefault="006B1FCF" w:rsidP="006B1FCF">
      <w:pPr>
        <w:spacing w:after="180"/>
        <w:ind w:left="568" w:hanging="284"/>
        <w:rPr>
          <w:rFonts w:cs="Arial"/>
          <w:lang w:val="en-US" w:eastAsia="ja-JP"/>
        </w:rPr>
      </w:pPr>
      <w:r w:rsidRPr="00936C1E">
        <w:rPr>
          <w:rFonts w:cs="Arial"/>
          <w:lang w:val="en-US" w:eastAsia="ja-JP"/>
        </w:rPr>
        <w:t>-</w:t>
      </w:r>
      <w:r w:rsidRPr="00936C1E">
        <w:rPr>
          <w:rFonts w:cs="Arial"/>
          <w:lang w:val="en-US" w:eastAsia="ja-JP"/>
        </w:rPr>
        <w:tab/>
        <w:t>if no UL-SCH resources are available for a transmission in this TTI:</w:t>
      </w:r>
    </w:p>
    <w:p w14:paraId="48A18559" w14:textId="77777777" w:rsidR="006B1FCF" w:rsidRPr="00936C1E" w:rsidRDefault="006B1FCF" w:rsidP="006B1FCF">
      <w:pPr>
        <w:spacing w:after="180"/>
        <w:ind w:left="851" w:hanging="284"/>
        <w:rPr>
          <w:rFonts w:cs="Arial"/>
          <w:lang w:val="en-US" w:eastAsia="ja-JP"/>
        </w:rPr>
      </w:pPr>
      <w:r w:rsidRPr="00936C1E">
        <w:rPr>
          <w:rFonts w:cs="Arial"/>
          <w:lang w:val="en-US" w:eastAsia="ja-JP"/>
        </w:rPr>
        <w:t>-</w:t>
      </w:r>
      <w:r w:rsidRPr="00936C1E">
        <w:rPr>
          <w:rFonts w:cs="Arial"/>
          <w:lang w:val="en-US" w:eastAsia="ja-JP"/>
        </w:rPr>
        <w:tab/>
        <w:t xml:space="preserve">if the MAC entity has no valid PUCCH resource for SR configured in any TTI and if </w:t>
      </w:r>
      <w:r w:rsidRPr="00936C1E">
        <w:rPr>
          <w:rFonts w:cs="Arial"/>
          <w:i/>
          <w:lang w:val="en-US" w:eastAsia="ja-JP"/>
        </w:rPr>
        <w:t>rach-Skip</w:t>
      </w:r>
      <w:r w:rsidRPr="00936C1E">
        <w:rPr>
          <w:rFonts w:cs="Arial"/>
          <w:lang w:val="en-US" w:eastAsia="ja-JP"/>
        </w:rPr>
        <w:t xml:space="preserve"> for the MCG MAC entity or </w:t>
      </w:r>
      <w:r w:rsidRPr="00936C1E">
        <w:rPr>
          <w:rFonts w:cs="Arial"/>
          <w:i/>
          <w:lang w:val="en-US" w:eastAsia="ja-JP"/>
        </w:rPr>
        <w:t>rach-SkipSCG</w:t>
      </w:r>
      <w:r w:rsidRPr="00936C1E">
        <w:rPr>
          <w:rFonts w:cs="Arial"/>
          <w:lang w:val="en-US" w:eastAsia="ja-JP"/>
        </w:rPr>
        <w:t xml:space="preserve"> for the SCG MAC entity is not configured: initiate a Random Access procedure (see subclause 5.1) on the SpCell and cancel all pending SRs;</w:t>
      </w:r>
    </w:p>
    <w:p w14:paraId="77857B8C" w14:textId="77777777" w:rsidR="006B1FCF" w:rsidRPr="00936C1E" w:rsidRDefault="006B1FCF" w:rsidP="006B1FCF">
      <w:pPr>
        <w:spacing w:after="180"/>
        <w:ind w:left="851" w:hanging="284"/>
        <w:rPr>
          <w:rFonts w:cs="Arial"/>
          <w:lang w:val="en-US" w:eastAsia="ja-JP"/>
        </w:rPr>
      </w:pPr>
      <w:r w:rsidRPr="00936C1E">
        <w:rPr>
          <w:rFonts w:cs="Arial"/>
          <w:lang w:val="en-US" w:eastAsia="ja-JP"/>
        </w:rPr>
        <w:t>-</w:t>
      </w:r>
      <w:r w:rsidRPr="00936C1E">
        <w:rPr>
          <w:rFonts w:cs="Arial"/>
          <w:lang w:val="en-US" w:eastAsia="ja-JP"/>
        </w:rPr>
        <w:tab/>
        <w:t xml:space="preserve">if SR_COUNTER &lt; </w:t>
      </w:r>
      <w:r w:rsidRPr="00936C1E">
        <w:rPr>
          <w:rFonts w:cs="Arial"/>
          <w:i/>
          <w:lang w:val="en-US" w:eastAsia="ja-JP"/>
        </w:rPr>
        <w:t>dsr-TransMax</w:t>
      </w:r>
      <w:r w:rsidRPr="00936C1E">
        <w:rPr>
          <w:rFonts w:cs="Arial"/>
          <w:lang w:val="en-US" w:eastAsia="ja-JP"/>
        </w:rPr>
        <w:t>:</w:t>
      </w:r>
    </w:p>
    <w:p w14:paraId="56E1B05B" w14:textId="77777777" w:rsidR="006B1FCF" w:rsidRPr="00936C1E" w:rsidRDefault="006B1FCF" w:rsidP="006B1FCF">
      <w:pPr>
        <w:spacing w:after="180"/>
        <w:ind w:left="1418" w:hanging="284"/>
        <w:rPr>
          <w:rFonts w:cs="Arial"/>
          <w:lang w:val="en-US" w:eastAsia="ja-JP"/>
        </w:rPr>
      </w:pPr>
      <w:r w:rsidRPr="00936C1E">
        <w:rPr>
          <w:rFonts w:cs="Arial"/>
          <w:lang w:val="en-US" w:eastAsia="ja-JP"/>
        </w:rPr>
        <w:t>-</w:t>
      </w:r>
      <w:r w:rsidRPr="00936C1E">
        <w:rPr>
          <w:rFonts w:cs="Arial"/>
          <w:lang w:val="en-US" w:eastAsia="ja-JP"/>
        </w:rPr>
        <w:tab/>
        <w:t>increment SR_COUNTER by 1;</w:t>
      </w:r>
    </w:p>
    <w:p w14:paraId="2B376EB3" w14:textId="77777777" w:rsidR="006B1FCF" w:rsidRPr="00936C1E" w:rsidRDefault="006B1FCF" w:rsidP="006B1FCF">
      <w:pPr>
        <w:spacing w:after="180"/>
        <w:ind w:left="1418" w:hanging="284"/>
        <w:rPr>
          <w:rFonts w:cs="Arial"/>
          <w:lang w:val="en-US" w:eastAsia="ja-JP"/>
        </w:rPr>
      </w:pPr>
      <w:r w:rsidRPr="00936C1E">
        <w:rPr>
          <w:rFonts w:cs="Arial"/>
          <w:lang w:val="en-US" w:eastAsia="ja-JP"/>
        </w:rPr>
        <w:t>-</w:t>
      </w:r>
      <w:r w:rsidRPr="00936C1E">
        <w:rPr>
          <w:rFonts w:cs="Arial"/>
          <w:lang w:val="en-US" w:eastAsia="ja-JP"/>
        </w:rPr>
        <w:tab/>
        <w:t>instruct the physical layer to signal the SR on one valid PUCCH resource for SR;</w:t>
      </w:r>
    </w:p>
    <w:p w14:paraId="089E8220" w14:textId="77777777" w:rsidR="006B1FCF" w:rsidRPr="00936C1E" w:rsidRDefault="006B1FCF" w:rsidP="006B1FCF">
      <w:pPr>
        <w:spacing w:after="180"/>
        <w:ind w:left="1418" w:hanging="284"/>
        <w:rPr>
          <w:rFonts w:cs="Arial"/>
          <w:lang w:val="en-US" w:eastAsia="ja-JP"/>
        </w:rPr>
      </w:pPr>
      <w:r w:rsidRPr="00936C1E">
        <w:rPr>
          <w:rFonts w:cs="Arial"/>
          <w:lang w:val="en-US" w:eastAsia="ja-JP"/>
        </w:rPr>
        <w:t>-</w:t>
      </w:r>
      <w:r w:rsidRPr="00936C1E">
        <w:rPr>
          <w:rFonts w:cs="Arial"/>
          <w:lang w:val="en-US" w:eastAsia="ja-JP"/>
        </w:rPr>
        <w:tab/>
        <w:t xml:space="preserve">start the </w:t>
      </w:r>
      <w:r w:rsidRPr="00936C1E">
        <w:rPr>
          <w:rFonts w:cs="Arial"/>
          <w:i/>
          <w:lang w:val="en-US" w:eastAsia="ja-JP"/>
        </w:rPr>
        <w:t>sr-ProhibitTimer</w:t>
      </w:r>
      <w:r w:rsidRPr="00936C1E">
        <w:rPr>
          <w:rFonts w:cs="Arial"/>
          <w:lang w:val="en-US" w:eastAsia="ja-JP"/>
        </w:rPr>
        <w:t>.</w:t>
      </w:r>
    </w:p>
    <w:p w14:paraId="43F2C8D6" w14:textId="77777777" w:rsidR="006B1FCF" w:rsidRPr="00936C1E" w:rsidRDefault="006B1FCF" w:rsidP="006B1FCF">
      <w:pPr>
        <w:spacing w:after="180"/>
        <w:ind w:left="1135" w:hanging="284"/>
        <w:rPr>
          <w:rFonts w:cs="Arial"/>
          <w:lang w:val="en-US" w:eastAsia="ja-JP"/>
        </w:rPr>
      </w:pPr>
      <w:r w:rsidRPr="00936C1E">
        <w:rPr>
          <w:rFonts w:cs="Arial"/>
          <w:lang w:val="en-US" w:eastAsia="ja-JP"/>
        </w:rPr>
        <w:t>-</w:t>
      </w:r>
      <w:r w:rsidRPr="00936C1E">
        <w:rPr>
          <w:rFonts w:cs="Arial"/>
          <w:lang w:val="en-US" w:eastAsia="ja-JP"/>
        </w:rPr>
        <w:tab/>
        <w:t>else:</w:t>
      </w:r>
    </w:p>
    <w:p w14:paraId="540F90F5" w14:textId="77777777" w:rsidR="006B1FCF" w:rsidRPr="00936C1E" w:rsidRDefault="006B1FCF" w:rsidP="006B1FCF">
      <w:pPr>
        <w:spacing w:after="180"/>
        <w:ind w:left="1418" w:hanging="284"/>
        <w:rPr>
          <w:rFonts w:cs="Arial"/>
          <w:i/>
          <w:color w:val="FF0000"/>
          <w:lang w:val="en-US" w:eastAsia="ja-JP"/>
        </w:rPr>
      </w:pPr>
      <w:r w:rsidRPr="00936C1E">
        <w:rPr>
          <w:rFonts w:cs="Arial"/>
          <w:lang w:val="en-US" w:eastAsia="ja-JP"/>
        </w:rPr>
        <w:t>-</w:t>
      </w:r>
      <w:r w:rsidRPr="00936C1E">
        <w:rPr>
          <w:rFonts w:cs="Arial"/>
          <w:lang w:val="en-US" w:eastAsia="ja-JP"/>
        </w:rPr>
        <w:tab/>
      </w:r>
      <w:r w:rsidRPr="00936C1E">
        <w:rPr>
          <w:rFonts w:cs="Arial"/>
          <w:i/>
          <w:color w:val="FF0000"/>
          <w:lang w:val="en-US" w:eastAsia="ja-JP"/>
        </w:rPr>
        <w:t>notify RRC to release PUCCH for all serving cells;</w:t>
      </w:r>
    </w:p>
    <w:p w14:paraId="7438F153" w14:textId="77777777" w:rsidR="006B1FCF" w:rsidRPr="00936C1E" w:rsidRDefault="006B1FCF" w:rsidP="006B1FCF">
      <w:pPr>
        <w:spacing w:after="180"/>
        <w:ind w:left="1418" w:hanging="284"/>
        <w:rPr>
          <w:rFonts w:cs="Arial"/>
          <w:i/>
          <w:color w:val="FF0000"/>
          <w:lang w:val="en-US" w:eastAsia="ja-JP"/>
        </w:rPr>
      </w:pPr>
      <w:r w:rsidRPr="00936C1E">
        <w:rPr>
          <w:rFonts w:cs="Arial"/>
          <w:i/>
          <w:color w:val="FF0000"/>
          <w:lang w:val="en-US" w:eastAsia="ja-JP"/>
        </w:rPr>
        <w:t>-</w:t>
      </w:r>
      <w:r w:rsidRPr="00936C1E">
        <w:rPr>
          <w:rFonts w:cs="Arial"/>
          <w:i/>
          <w:color w:val="FF0000"/>
          <w:lang w:val="en-US" w:eastAsia="ja-JP"/>
        </w:rPr>
        <w:tab/>
        <w:t>notify RRC to release SRS for all serving cells;</w:t>
      </w:r>
    </w:p>
    <w:p w14:paraId="478EF3B0" w14:textId="77777777" w:rsidR="006B1FCF" w:rsidRPr="00936C1E" w:rsidRDefault="006B1FCF" w:rsidP="006B1FCF">
      <w:pPr>
        <w:spacing w:after="180"/>
        <w:ind w:left="1418" w:hanging="284"/>
        <w:rPr>
          <w:rFonts w:cs="Arial"/>
          <w:i/>
          <w:color w:val="FF0000"/>
          <w:lang w:val="en-US" w:eastAsia="ja-JP"/>
        </w:rPr>
      </w:pPr>
      <w:r w:rsidRPr="00936C1E">
        <w:rPr>
          <w:rFonts w:cs="Arial"/>
          <w:i/>
          <w:color w:val="FF0000"/>
          <w:lang w:val="en-US" w:eastAsia="ja-JP"/>
        </w:rPr>
        <w:t>-</w:t>
      </w:r>
      <w:r w:rsidRPr="00936C1E">
        <w:rPr>
          <w:rFonts w:cs="Arial"/>
          <w:i/>
          <w:color w:val="FF0000"/>
          <w:lang w:val="en-US" w:eastAsia="ja-JP"/>
        </w:rPr>
        <w:tab/>
        <w:t>clear any configured downlink assignments and uplink grants;</w:t>
      </w:r>
    </w:p>
    <w:p w14:paraId="52278E90" w14:textId="77777777" w:rsidR="006B1FCF" w:rsidRPr="00936C1E" w:rsidRDefault="006B1FCF" w:rsidP="006B1FCF">
      <w:pPr>
        <w:spacing w:after="180"/>
        <w:ind w:left="1418" w:hanging="284"/>
        <w:rPr>
          <w:rFonts w:cs="Arial"/>
          <w:i/>
          <w:lang w:val="en-US" w:eastAsia="ja-JP"/>
        </w:rPr>
      </w:pPr>
      <w:r w:rsidRPr="00936C1E">
        <w:rPr>
          <w:rFonts w:cs="Arial"/>
          <w:i/>
          <w:color w:val="FF0000"/>
          <w:lang w:val="en-US" w:eastAsia="ja-JP"/>
        </w:rPr>
        <w:t>-</w:t>
      </w:r>
      <w:r w:rsidRPr="00936C1E">
        <w:rPr>
          <w:rFonts w:cs="Arial"/>
          <w:i/>
          <w:color w:val="FF0000"/>
          <w:lang w:val="en-US" w:eastAsia="ja-JP"/>
        </w:rPr>
        <w:tab/>
        <w:t>initiate a Random Access procedure on the SpCell and cancel all pending SRs.</w:t>
      </w:r>
    </w:p>
    <w:p w14:paraId="43D46EA6" w14:textId="415635A8" w:rsidR="00A2052C" w:rsidRPr="00936C1E" w:rsidRDefault="006B1FCF" w:rsidP="00A2052C">
      <w:pPr>
        <w:rPr>
          <w:lang w:val="en-US"/>
        </w:rPr>
      </w:pPr>
      <w:r w:rsidRPr="00936C1E">
        <w:rPr>
          <w:lang w:val="en-US"/>
        </w:rPr>
        <w:t xml:space="preserve">The UE actions highlighted in </w:t>
      </w:r>
      <w:r w:rsidRPr="00936C1E">
        <w:rPr>
          <w:color w:val="FF0000"/>
          <w:lang w:val="en-US"/>
        </w:rPr>
        <w:t xml:space="preserve">red </w:t>
      </w:r>
      <w:r w:rsidRPr="00936C1E">
        <w:rPr>
          <w:lang w:val="en-US"/>
        </w:rPr>
        <w:t xml:space="preserve">are performed when the </w:t>
      </w:r>
      <w:r w:rsidRPr="00936C1E">
        <w:rPr>
          <w:rFonts w:cs="Arial"/>
          <w:lang w:val="en-US" w:eastAsia="ja-JP"/>
        </w:rPr>
        <w:t xml:space="preserve">SR_COUNTER reaches </w:t>
      </w:r>
      <w:r w:rsidRPr="00936C1E">
        <w:rPr>
          <w:rFonts w:cs="Arial"/>
          <w:i/>
          <w:lang w:val="en-US" w:eastAsia="ja-JP"/>
        </w:rPr>
        <w:t xml:space="preserve">dsr-TransMax </w:t>
      </w:r>
      <w:r w:rsidRPr="00936C1E">
        <w:rPr>
          <w:rFonts w:cs="Arial"/>
          <w:lang w:val="en-US" w:eastAsia="ja-JP"/>
        </w:rPr>
        <w:t>for the SR configuration. NR supports multiple SR configurations to differentiate the “numerology/TTI type” associated wit</w:t>
      </w:r>
      <w:r w:rsidR="00192AEB" w:rsidRPr="00936C1E">
        <w:rPr>
          <w:rFonts w:cs="Arial"/>
          <w:lang w:val="en-US" w:eastAsia="ja-JP"/>
        </w:rPr>
        <w:t xml:space="preserve">h the LCHs that trigger the SR. So, this contribution explains what impact on above UE actions when the UE has met the maximum SR transmission attempts (i.e., SR_COUNTER reaches </w:t>
      </w:r>
      <w:r w:rsidR="00192AEB" w:rsidRPr="00936C1E">
        <w:rPr>
          <w:rFonts w:cs="Arial"/>
          <w:i/>
          <w:lang w:val="en-US" w:eastAsia="ja-JP"/>
        </w:rPr>
        <w:t xml:space="preserve">dsr-TransMax) </w:t>
      </w:r>
      <w:r w:rsidR="00192AEB" w:rsidRPr="00936C1E">
        <w:rPr>
          <w:rFonts w:cs="Arial"/>
          <w:lang w:val="en-US" w:eastAsia="ja-JP"/>
        </w:rPr>
        <w:t>for one of the SR configurations.</w:t>
      </w:r>
    </w:p>
    <w:p w14:paraId="47A5A8E0" w14:textId="77777777" w:rsidR="004000E8" w:rsidRPr="00936C1E" w:rsidRDefault="004000E8" w:rsidP="00CE0424">
      <w:pPr>
        <w:pStyle w:val="Heading1"/>
        <w:rPr>
          <w:lang w:val="en-US"/>
        </w:rPr>
      </w:pPr>
      <w:bookmarkStart w:id="1" w:name="_Ref178064866"/>
      <w:r w:rsidRPr="00936C1E">
        <w:rPr>
          <w:lang w:val="en-US"/>
        </w:rPr>
        <w:lastRenderedPageBreak/>
        <w:t>Discussion</w:t>
      </w:r>
      <w:bookmarkEnd w:id="1"/>
    </w:p>
    <w:p w14:paraId="326E62DE" w14:textId="7EDC4F86" w:rsidR="00B94293" w:rsidRPr="00936C1E" w:rsidRDefault="00B94293" w:rsidP="00B94293">
      <w:pPr>
        <w:pStyle w:val="BodyText"/>
        <w:rPr>
          <w:lang w:val="en-US" w:eastAsia="ja-JP"/>
        </w:rPr>
      </w:pPr>
      <w:r w:rsidRPr="00936C1E">
        <w:rPr>
          <w:lang w:val="en-US"/>
        </w:rPr>
        <w:t xml:space="preserve">In LTE, a UE supports only one SR configuration. The UE executes actions highlighted in section 1 to release its SR resource when the UE has transmitted SR for maximum amount times (i.e., its </w:t>
      </w:r>
      <w:r w:rsidRPr="00936C1E">
        <w:rPr>
          <w:lang w:val="en-US" w:eastAsia="ja-JP"/>
        </w:rPr>
        <w:t xml:space="preserve">SR_COUNTER reaches </w:t>
      </w:r>
      <w:r w:rsidRPr="00936C1E">
        <w:rPr>
          <w:i/>
          <w:lang w:val="en-US" w:eastAsia="ja-JP"/>
        </w:rPr>
        <w:t xml:space="preserve">dsr-TransMax). </w:t>
      </w:r>
      <w:r w:rsidRPr="00936C1E">
        <w:rPr>
          <w:lang w:val="en-US" w:eastAsia="ja-JP"/>
        </w:rPr>
        <w:t>Such procedure can be seemed as a UE autonomous action to detect the SR failure</w:t>
      </w:r>
      <w:r w:rsidR="00936C1E">
        <w:rPr>
          <w:lang w:val="en-US" w:eastAsia="ja-JP"/>
        </w:rPr>
        <w:t xml:space="preserve"> which could be an indication of a more severe problem with the radio</w:t>
      </w:r>
      <w:r w:rsidRPr="00936C1E">
        <w:rPr>
          <w:lang w:val="en-US" w:eastAsia="ja-JP"/>
        </w:rPr>
        <w:t xml:space="preserve">. This may occur </w:t>
      </w:r>
      <w:r w:rsidR="00EB0280" w:rsidRPr="00936C1E">
        <w:rPr>
          <w:lang w:val="en-US" w:eastAsia="ja-JP"/>
        </w:rPr>
        <w:t xml:space="preserve">when either SR transmission/reception fails or SR is overloaded. </w:t>
      </w:r>
      <w:r w:rsidR="00936C1E">
        <w:rPr>
          <w:lang w:val="en-US" w:eastAsia="ja-JP"/>
        </w:rPr>
        <w:t>As there could be many reasons for this potential radio problem the safest option is selected, i.e. to perform a random access.</w:t>
      </w:r>
      <w:r w:rsidR="000A4A38" w:rsidRPr="00936C1E">
        <w:rPr>
          <w:lang w:val="en-US" w:eastAsia="ja-JP"/>
        </w:rPr>
        <w:t xml:space="preserve"> </w:t>
      </w:r>
    </w:p>
    <w:p w14:paraId="1B73B4C0" w14:textId="64515782" w:rsidR="000A4A38" w:rsidRPr="00936C1E" w:rsidRDefault="000A4A38" w:rsidP="000A4A38">
      <w:pPr>
        <w:pStyle w:val="Observation"/>
        <w:rPr>
          <w:lang w:val="en-US"/>
        </w:rPr>
      </w:pPr>
      <w:bookmarkStart w:id="2" w:name="_Toc487051960"/>
      <w:bookmarkStart w:id="3" w:name="_Toc490208187"/>
      <w:r w:rsidRPr="00936C1E">
        <w:rPr>
          <w:lang w:val="en-US"/>
        </w:rPr>
        <w:t xml:space="preserve">In LTE, </w:t>
      </w:r>
      <w:r w:rsidR="001C3534" w:rsidRPr="00936C1E">
        <w:rPr>
          <w:lang w:val="en-US"/>
        </w:rPr>
        <w:t xml:space="preserve">it is an effective mean for the UE MAC entity to release its SR resources, and recover the SR transmission by </w:t>
      </w:r>
      <w:r w:rsidR="00936C1E">
        <w:rPr>
          <w:lang w:val="en-US"/>
        </w:rPr>
        <w:t>initiating</w:t>
      </w:r>
      <w:r w:rsidR="001C3534" w:rsidRPr="00936C1E">
        <w:rPr>
          <w:lang w:val="en-US"/>
        </w:rPr>
        <w:t xml:space="preserve"> a RACH procedure when the UE has transmitted SR for maximum amount times</w:t>
      </w:r>
      <w:bookmarkEnd w:id="2"/>
      <w:r w:rsidR="00936C1E">
        <w:rPr>
          <w:lang w:val="en-US"/>
        </w:rPr>
        <w:t>.</w:t>
      </w:r>
      <w:bookmarkEnd w:id="3"/>
    </w:p>
    <w:p w14:paraId="7F47AACA" w14:textId="1F96FD68" w:rsidR="002070B1" w:rsidRPr="00936C1E" w:rsidRDefault="00932CC9" w:rsidP="002070B1">
      <w:pPr>
        <w:pStyle w:val="BodyText"/>
        <w:rPr>
          <w:lang w:val="en-US"/>
        </w:rPr>
      </w:pPr>
      <w:r w:rsidRPr="00936C1E">
        <w:rPr>
          <w:lang w:val="en-US"/>
        </w:rPr>
        <w:t xml:space="preserve">The support of multiple SR configurations for a UE is to </w:t>
      </w:r>
      <w:r w:rsidR="00EE6805" w:rsidRPr="00936C1E">
        <w:rPr>
          <w:lang w:val="en-US"/>
        </w:rPr>
        <w:t>distinguish</w:t>
      </w:r>
      <w:r w:rsidRPr="00936C1E">
        <w:rPr>
          <w:lang w:val="en-US"/>
        </w:rPr>
        <w:t xml:space="preserve"> the “numerology/TTI type” of associated LCHs that trigger SR. In this way, a UE may be configured with multiple </w:t>
      </w:r>
      <w:r w:rsidR="00B94293" w:rsidRPr="00936C1E">
        <w:rPr>
          <w:lang w:val="en-US"/>
        </w:rPr>
        <w:t>SR</w:t>
      </w:r>
      <w:r w:rsidRPr="00936C1E">
        <w:rPr>
          <w:lang w:val="en-US"/>
        </w:rPr>
        <w:t xml:space="preserve"> resources. Each of them is associated with a separate SR configuration. </w:t>
      </w:r>
      <w:r w:rsidR="007C2BCF" w:rsidRPr="00936C1E">
        <w:rPr>
          <w:lang w:val="en-US"/>
        </w:rPr>
        <w:t xml:space="preserve"> </w:t>
      </w:r>
      <w:r w:rsidR="00D56BE8" w:rsidRPr="00936C1E">
        <w:rPr>
          <w:rFonts w:eastAsia="Malgun Gothic"/>
          <w:lang w:val="en-US" w:eastAsia="ko-KR"/>
        </w:rPr>
        <w:t xml:space="preserve">For low latency LCHs/LCG, e.g., URLLC, a dedicated SR resource with shorter periodicity can be configured to meet stringent latency requirement.  While, a separate SR resource can be configured with longer periodicity for </w:t>
      </w:r>
      <w:r w:rsidR="00936C1E">
        <w:rPr>
          <w:rFonts w:eastAsia="Malgun Gothic"/>
          <w:lang w:val="en-US" w:eastAsia="ko-KR"/>
        </w:rPr>
        <w:t xml:space="preserve">services not as sensitive to </w:t>
      </w:r>
      <w:r w:rsidR="00D56BE8" w:rsidRPr="00936C1E">
        <w:rPr>
          <w:rFonts w:eastAsia="Malgun Gothic"/>
          <w:lang w:val="en-US" w:eastAsia="ko-KR"/>
        </w:rPr>
        <w:t xml:space="preserve">latency, e.g., eMBB. </w:t>
      </w:r>
      <w:r w:rsidR="00D56BE8" w:rsidRPr="00936C1E">
        <w:rPr>
          <w:lang w:val="en-US"/>
        </w:rPr>
        <w:t xml:space="preserve"> </w:t>
      </w:r>
      <w:r w:rsidR="008F4B4E" w:rsidRPr="00936C1E">
        <w:rPr>
          <w:lang w:val="en-US"/>
        </w:rPr>
        <w:t xml:space="preserve">The SR resources may be multiplexed in different manners, such as TDM, FDM or CDM. Although the SR transmission reliability may differ between SR resources, such difference is unknown to the UE MAC entity unless the network informs the SR measurements to the UE.  </w:t>
      </w:r>
    </w:p>
    <w:p w14:paraId="082B95DF" w14:textId="04A85B7A" w:rsidR="001C3534" w:rsidRPr="00936C1E" w:rsidRDefault="001C3534" w:rsidP="002070B1">
      <w:pPr>
        <w:pStyle w:val="Observation"/>
        <w:rPr>
          <w:lang w:val="en-US"/>
        </w:rPr>
      </w:pPr>
      <w:bookmarkStart w:id="4" w:name="_Toc487051961"/>
      <w:bookmarkStart w:id="5" w:name="_Toc490208188"/>
      <w:r w:rsidRPr="00936C1E">
        <w:rPr>
          <w:lang w:val="en-US"/>
        </w:rPr>
        <w:t>In NR, multiple SR configurations are used to distinguish the “numerology/TTI type” of associated LCHs that trigger SR</w:t>
      </w:r>
      <w:bookmarkEnd w:id="4"/>
      <w:r w:rsidR="00936C1E">
        <w:rPr>
          <w:lang w:val="en-US"/>
        </w:rPr>
        <w:t>.</w:t>
      </w:r>
      <w:bookmarkEnd w:id="5"/>
    </w:p>
    <w:p w14:paraId="4FB224FC" w14:textId="4C39392B" w:rsidR="00AD4447" w:rsidRPr="00936C1E" w:rsidRDefault="001C3534" w:rsidP="00AD4447">
      <w:pPr>
        <w:pStyle w:val="Observation"/>
        <w:rPr>
          <w:lang w:val="en-US"/>
        </w:rPr>
      </w:pPr>
      <w:bookmarkStart w:id="6" w:name="_Toc487029959"/>
      <w:bookmarkStart w:id="7" w:name="_Toc487033661"/>
      <w:bookmarkStart w:id="8" w:name="_Toc487051962"/>
      <w:bookmarkStart w:id="9" w:name="_Toc490208189"/>
      <w:r w:rsidRPr="00936C1E">
        <w:rPr>
          <w:lang w:val="en-US"/>
        </w:rPr>
        <w:t>In NR, t</w:t>
      </w:r>
      <w:r w:rsidR="00424B74" w:rsidRPr="00936C1E">
        <w:rPr>
          <w:lang w:val="en-US"/>
        </w:rPr>
        <w:t>he SR performance difference in terms of transmission reliability between SR resources is unknown to the UE MAC entity</w:t>
      </w:r>
      <w:bookmarkEnd w:id="6"/>
      <w:bookmarkEnd w:id="7"/>
      <w:bookmarkEnd w:id="8"/>
      <w:r w:rsidR="00936C1E">
        <w:rPr>
          <w:lang w:val="en-US"/>
        </w:rPr>
        <w:t>.</w:t>
      </w:r>
      <w:bookmarkEnd w:id="9"/>
    </w:p>
    <w:p w14:paraId="1307C362" w14:textId="7E8436D3" w:rsidR="006841E4" w:rsidRPr="00936C1E" w:rsidRDefault="001C3534" w:rsidP="00CE0424">
      <w:pPr>
        <w:pStyle w:val="BodyText"/>
        <w:rPr>
          <w:lang w:val="en-US"/>
        </w:rPr>
      </w:pPr>
      <w:r w:rsidRPr="00936C1E">
        <w:rPr>
          <w:lang w:val="en-US"/>
        </w:rPr>
        <w:t>Bearing above analyses in mind, it is natural for the UE MAC entity to perform the same actions as that in LTE,</w:t>
      </w:r>
      <w:r w:rsidR="009F0A3D" w:rsidRPr="00936C1E">
        <w:rPr>
          <w:lang w:val="en-US"/>
        </w:rPr>
        <w:t xml:space="preserve"> i.e., release all configured SR resources, </w:t>
      </w:r>
      <w:r w:rsidRPr="00936C1E">
        <w:rPr>
          <w:lang w:val="en-US"/>
        </w:rPr>
        <w:t xml:space="preserve">when one of </w:t>
      </w:r>
      <w:r w:rsidR="0030769D">
        <w:rPr>
          <w:lang w:val="en-US"/>
        </w:rPr>
        <w:t xml:space="preserve">the </w:t>
      </w:r>
      <w:r w:rsidRPr="00936C1E">
        <w:rPr>
          <w:lang w:val="en-US"/>
        </w:rPr>
        <w:t xml:space="preserve">SR configurations has met its maximum SR transmission amount. </w:t>
      </w:r>
    </w:p>
    <w:p w14:paraId="7EA2365A" w14:textId="36539FFB" w:rsidR="002070B1" w:rsidRPr="00936C1E" w:rsidRDefault="006841E4" w:rsidP="00CE0424">
      <w:pPr>
        <w:pStyle w:val="BodyText"/>
        <w:rPr>
          <w:lang w:val="en-US"/>
        </w:rPr>
      </w:pPr>
      <w:r w:rsidRPr="00936C1E">
        <w:rPr>
          <w:lang w:val="en-US"/>
        </w:rPr>
        <w:t xml:space="preserve">As </w:t>
      </w:r>
      <w:r w:rsidR="00A44B0B" w:rsidRPr="00936C1E">
        <w:rPr>
          <w:lang w:val="en-US"/>
        </w:rPr>
        <w:t>another</w:t>
      </w:r>
      <w:r w:rsidRPr="00936C1E">
        <w:rPr>
          <w:lang w:val="en-US"/>
        </w:rPr>
        <w:t xml:space="preserve"> alternative, the UE MAC entity may only release the SR resource that </w:t>
      </w:r>
      <w:r w:rsidR="0030769D">
        <w:rPr>
          <w:lang w:val="en-US"/>
        </w:rPr>
        <w:t xml:space="preserve">triggers the </w:t>
      </w:r>
      <w:r w:rsidRPr="00936C1E">
        <w:rPr>
          <w:lang w:val="en-US"/>
        </w:rPr>
        <w:t xml:space="preserve">failure, while keeping the other SR resources/configurations uninterrupted. </w:t>
      </w:r>
      <w:r w:rsidR="00CB2296" w:rsidRPr="00936C1E">
        <w:rPr>
          <w:lang w:val="en-US"/>
        </w:rPr>
        <w:t>This alternative has several issues. Firstly, the RACH access request must be improved to indicate to the network which SR resource has fail</w:t>
      </w:r>
      <w:r w:rsidR="0030769D">
        <w:rPr>
          <w:lang w:val="en-US"/>
        </w:rPr>
        <w:t>ed</w:t>
      </w:r>
      <w:r w:rsidR="00CB2296" w:rsidRPr="00936C1E">
        <w:rPr>
          <w:lang w:val="en-US"/>
        </w:rPr>
        <w:t xml:space="preserve">. The RRC reconfiguration procedure must be also updated to reconfigure only the SR resource in trouble while keeping other SR resources and SRS resources unchanged. Therefore, much more additional standardization efforts are foreseen. Secondly, the situation may not improve by doing this, since the other SR configurations may also </w:t>
      </w:r>
      <w:r w:rsidR="0030769D">
        <w:rPr>
          <w:lang w:val="en-US"/>
        </w:rPr>
        <w:t xml:space="preserve">experience </w:t>
      </w:r>
      <w:r w:rsidR="00CB2296" w:rsidRPr="00936C1E">
        <w:rPr>
          <w:lang w:val="en-US"/>
        </w:rPr>
        <w:t xml:space="preserve">failures soon. </w:t>
      </w:r>
    </w:p>
    <w:p w14:paraId="5466259D" w14:textId="0DE67CDD" w:rsidR="00AD4447" w:rsidRPr="00936C1E" w:rsidRDefault="00D20BF2" w:rsidP="00AD4447">
      <w:pPr>
        <w:pStyle w:val="Proposal"/>
        <w:rPr>
          <w:lang w:val="en-US"/>
        </w:rPr>
      </w:pPr>
      <w:bookmarkStart w:id="10" w:name="_Toc487029691"/>
      <w:bookmarkStart w:id="11" w:name="_Toc487029912"/>
      <w:bookmarkStart w:id="12" w:name="_Toc487029949"/>
      <w:bookmarkStart w:id="13" w:name="_Toc489456595"/>
      <w:bookmarkStart w:id="14" w:name="_Toc490208191"/>
      <w:r w:rsidRPr="00936C1E">
        <w:rPr>
          <w:lang w:val="en-US"/>
        </w:rPr>
        <w:t>For a</w:t>
      </w:r>
      <w:r w:rsidR="0030769D">
        <w:rPr>
          <w:lang w:val="en-US"/>
        </w:rPr>
        <w:t>n</w:t>
      </w:r>
      <w:r w:rsidRPr="00936C1E">
        <w:rPr>
          <w:lang w:val="en-US"/>
        </w:rPr>
        <w:t xml:space="preserve"> SR configuration, w</w:t>
      </w:r>
      <w:r w:rsidR="00AD4447" w:rsidRPr="00936C1E">
        <w:rPr>
          <w:lang w:val="en-US"/>
        </w:rPr>
        <w:t xml:space="preserve">hen </w:t>
      </w:r>
      <w:r w:rsidRPr="00936C1E">
        <w:rPr>
          <w:lang w:val="en-US"/>
        </w:rPr>
        <w:t xml:space="preserve">the UE MAC entity </w:t>
      </w:r>
      <w:r w:rsidR="00AD4447" w:rsidRPr="00936C1E">
        <w:rPr>
          <w:lang w:val="en-US"/>
        </w:rPr>
        <w:t xml:space="preserve">reaches its maximum transmission attempts, i.e., </w:t>
      </w:r>
      <w:r w:rsidR="00AD4447" w:rsidRPr="00936C1E">
        <w:rPr>
          <w:rFonts w:cs="Arial"/>
          <w:lang w:val="en-US" w:eastAsia="ja-JP"/>
        </w:rPr>
        <w:t xml:space="preserve">SR_COUNTER reaches </w:t>
      </w:r>
      <w:r w:rsidR="00AD4447" w:rsidRPr="00936C1E">
        <w:rPr>
          <w:rFonts w:cs="Arial"/>
          <w:i/>
          <w:lang w:val="en-US" w:eastAsia="ja-JP"/>
        </w:rPr>
        <w:t>dsr-TransMax</w:t>
      </w:r>
      <w:bookmarkEnd w:id="10"/>
      <w:r w:rsidR="005C0E35" w:rsidRPr="00936C1E">
        <w:rPr>
          <w:rFonts w:cs="Arial"/>
          <w:i/>
          <w:lang w:val="en-US" w:eastAsia="ja-JP"/>
        </w:rPr>
        <w:t xml:space="preserve">, </w:t>
      </w:r>
      <w:r w:rsidR="005C0E35" w:rsidRPr="00936C1E">
        <w:rPr>
          <w:rFonts w:cs="Arial"/>
          <w:lang w:val="en-US" w:eastAsia="ja-JP"/>
        </w:rPr>
        <w:t>the UE MAC entity performs the same action</w:t>
      </w:r>
      <w:r w:rsidR="00397E1B" w:rsidRPr="00936C1E">
        <w:rPr>
          <w:rFonts w:cs="Arial"/>
          <w:lang w:val="en-US" w:eastAsia="ja-JP"/>
        </w:rPr>
        <w:t>s</w:t>
      </w:r>
      <w:r w:rsidR="005C0E35" w:rsidRPr="00936C1E">
        <w:rPr>
          <w:rFonts w:cs="Arial"/>
          <w:lang w:val="en-US" w:eastAsia="ja-JP"/>
        </w:rPr>
        <w:t xml:space="preserve"> as LTE</w:t>
      </w:r>
      <w:r w:rsidR="006045C2" w:rsidRPr="00936C1E">
        <w:rPr>
          <w:rFonts w:cs="Arial"/>
          <w:lang w:val="en-US" w:eastAsia="ja-JP"/>
        </w:rPr>
        <w:t xml:space="preserve"> regardless of </w:t>
      </w:r>
      <w:r w:rsidRPr="00936C1E">
        <w:rPr>
          <w:rFonts w:cs="Arial"/>
          <w:lang w:val="en-US" w:eastAsia="ja-JP"/>
        </w:rPr>
        <w:t>how many</w:t>
      </w:r>
      <w:r w:rsidR="006045C2" w:rsidRPr="00936C1E">
        <w:rPr>
          <w:rFonts w:cs="Arial"/>
          <w:lang w:val="en-US" w:eastAsia="ja-JP"/>
        </w:rPr>
        <w:t xml:space="preserve"> SR configurations that </w:t>
      </w:r>
      <w:r w:rsidR="00CB3524" w:rsidRPr="00936C1E">
        <w:rPr>
          <w:rFonts w:cs="Arial"/>
          <w:lang w:val="en-US" w:eastAsia="ja-JP"/>
        </w:rPr>
        <w:t xml:space="preserve">the </w:t>
      </w:r>
      <w:r w:rsidR="006045C2" w:rsidRPr="00936C1E">
        <w:rPr>
          <w:rFonts w:cs="Arial"/>
          <w:lang w:val="en-US" w:eastAsia="ja-JP"/>
        </w:rPr>
        <w:t>UE supports</w:t>
      </w:r>
      <w:r w:rsidR="00397E1B" w:rsidRPr="00936C1E">
        <w:rPr>
          <w:rFonts w:cs="Arial"/>
          <w:lang w:val="en-US" w:eastAsia="ja-JP"/>
        </w:rPr>
        <w:t>, i.e.,</w:t>
      </w:r>
      <w:bookmarkEnd w:id="11"/>
      <w:bookmarkEnd w:id="12"/>
      <w:bookmarkEnd w:id="13"/>
      <w:bookmarkEnd w:id="14"/>
    </w:p>
    <w:p w14:paraId="40ED31BE" w14:textId="77777777" w:rsidR="005C0E35" w:rsidRPr="00936C1E" w:rsidRDefault="00AD4447" w:rsidP="005C0E35">
      <w:pPr>
        <w:pStyle w:val="Proposal"/>
        <w:numPr>
          <w:ilvl w:val="0"/>
          <w:numId w:val="21"/>
        </w:numPr>
        <w:rPr>
          <w:lang w:val="en-US"/>
        </w:rPr>
      </w:pPr>
      <w:bookmarkStart w:id="15" w:name="_Toc487029692"/>
      <w:bookmarkStart w:id="16" w:name="_Toc487029913"/>
      <w:bookmarkStart w:id="17" w:name="_Toc487029950"/>
      <w:bookmarkStart w:id="18" w:name="_Toc489456596"/>
      <w:bookmarkStart w:id="19" w:name="_Toc490208192"/>
      <w:r w:rsidRPr="00936C1E">
        <w:rPr>
          <w:lang w:val="en-US" w:eastAsia="ja-JP"/>
        </w:rPr>
        <w:t>notify RRC to release PUCCH for all serving cells;</w:t>
      </w:r>
      <w:bookmarkStart w:id="20" w:name="_Toc487029693"/>
      <w:bookmarkEnd w:id="15"/>
      <w:bookmarkEnd w:id="16"/>
      <w:bookmarkEnd w:id="17"/>
      <w:bookmarkEnd w:id="18"/>
      <w:bookmarkEnd w:id="19"/>
    </w:p>
    <w:p w14:paraId="30DD788C" w14:textId="77777777" w:rsidR="005C0E35" w:rsidRPr="00936C1E" w:rsidRDefault="00AD4447" w:rsidP="005C0E35">
      <w:pPr>
        <w:pStyle w:val="Proposal"/>
        <w:numPr>
          <w:ilvl w:val="0"/>
          <w:numId w:val="21"/>
        </w:numPr>
        <w:rPr>
          <w:lang w:val="en-US"/>
        </w:rPr>
      </w:pPr>
      <w:bookmarkStart w:id="21" w:name="_Toc487029914"/>
      <w:bookmarkStart w:id="22" w:name="_Toc487029951"/>
      <w:bookmarkStart w:id="23" w:name="_Toc489456597"/>
      <w:bookmarkStart w:id="24" w:name="_Toc490208193"/>
      <w:r w:rsidRPr="00936C1E">
        <w:rPr>
          <w:lang w:val="en-US" w:eastAsia="ja-JP"/>
        </w:rPr>
        <w:t>notify RRC to release SRS for all serving cells;</w:t>
      </w:r>
      <w:bookmarkStart w:id="25" w:name="_Toc487029694"/>
      <w:bookmarkEnd w:id="20"/>
      <w:bookmarkEnd w:id="21"/>
      <w:bookmarkEnd w:id="22"/>
      <w:bookmarkEnd w:id="23"/>
      <w:bookmarkEnd w:id="24"/>
    </w:p>
    <w:p w14:paraId="6F0EEDF7" w14:textId="77777777" w:rsidR="005C0E35" w:rsidRPr="00936C1E" w:rsidRDefault="00AD4447" w:rsidP="005C0E35">
      <w:pPr>
        <w:pStyle w:val="Proposal"/>
        <w:numPr>
          <w:ilvl w:val="0"/>
          <w:numId w:val="21"/>
        </w:numPr>
        <w:rPr>
          <w:lang w:val="en-US"/>
        </w:rPr>
      </w:pPr>
      <w:bookmarkStart w:id="26" w:name="_Toc487029915"/>
      <w:bookmarkStart w:id="27" w:name="_Toc487029952"/>
      <w:bookmarkStart w:id="28" w:name="_Toc489456598"/>
      <w:bookmarkStart w:id="29" w:name="_Toc490208194"/>
      <w:r w:rsidRPr="00936C1E">
        <w:rPr>
          <w:lang w:val="en-US" w:eastAsia="ja-JP"/>
        </w:rPr>
        <w:t>clear any configured downlink assignments and uplink grants;</w:t>
      </w:r>
      <w:bookmarkStart w:id="30" w:name="_Toc487029695"/>
      <w:bookmarkEnd w:id="25"/>
      <w:bookmarkEnd w:id="26"/>
      <w:bookmarkEnd w:id="27"/>
      <w:bookmarkEnd w:id="28"/>
      <w:bookmarkEnd w:id="29"/>
    </w:p>
    <w:p w14:paraId="74A3657E" w14:textId="3640D42E" w:rsidR="00AD4447" w:rsidRDefault="00AD4447" w:rsidP="005C0E35">
      <w:pPr>
        <w:pStyle w:val="Proposal"/>
        <w:numPr>
          <w:ilvl w:val="0"/>
          <w:numId w:val="21"/>
        </w:numPr>
        <w:rPr>
          <w:lang w:val="en-US"/>
        </w:rPr>
      </w:pPr>
      <w:bookmarkStart w:id="31" w:name="_Toc487029916"/>
      <w:bookmarkStart w:id="32" w:name="_Toc487029953"/>
      <w:bookmarkStart w:id="33" w:name="_Toc489456599"/>
      <w:bookmarkStart w:id="34" w:name="_Toc490208195"/>
      <w:r w:rsidRPr="00936C1E">
        <w:rPr>
          <w:lang w:val="en-US" w:eastAsia="ja-JP"/>
        </w:rPr>
        <w:t>initiate a Random Access procedure on the SpCell and cancel all pending SRs.</w:t>
      </w:r>
      <w:bookmarkEnd w:id="30"/>
      <w:bookmarkEnd w:id="31"/>
      <w:bookmarkEnd w:id="32"/>
      <w:bookmarkEnd w:id="33"/>
      <w:bookmarkEnd w:id="34"/>
    </w:p>
    <w:p w14:paraId="7018B044" w14:textId="7144182A" w:rsidR="002664D6" w:rsidRPr="00936C1E" w:rsidRDefault="002664D6" w:rsidP="002664D6">
      <w:pPr>
        <w:pStyle w:val="BodyText"/>
        <w:rPr>
          <w:lang w:val="en-US"/>
        </w:rPr>
      </w:pPr>
      <w:r>
        <w:rPr>
          <w:lang w:val="en-US"/>
        </w:rPr>
        <w:t>A text proposal covering this proposal can be found in [</w:t>
      </w:r>
      <w:r w:rsidR="00403586">
        <w:rPr>
          <w:lang w:val="en-US"/>
        </w:rPr>
        <w:t>2</w:t>
      </w:r>
      <w:r>
        <w:rPr>
          <w:lang w:val="en-US"/>
        </w:rPr>
        <w:t>].</w:t>
      </w:r>
    </w:p>
    <w:p w14:paraId="20727116" w14:textId="77777777" w:rsidR="00C01F33" w:rsidRPr="00936C1E" w:rsidRDefault="00C01F33" w:rsidP="00CE0424">
      <w:pPr>
        <w:pStyle w:val="Heading1"/>
        <w:rPr>
          <w:lang w:val="en-US"/>
        </w:rPr>
      </w:pPr>
      <w:bookmarkStart w:id="35" w:name="_Toc487029696"/>
      <w:bookmarkEnd w:id="35"/>
      <w:r w:rsidRPr="00936C1E">
        <w:rPr>
          <w:lang w:val="en-US"/>
        </w:rPr>
        <w:t>Conclusion</w:t>
      </w:r>
    </w:p>
    <w:p w14:paraId="0B933F2F" w14:textId="77777777" w:rsidR="00594B76" w:rsidRDefault="002664D6" w:rsidP="002664D6">
      <w:pPr>
        <w:rPr>
          <w:noProof/>
        </w:rPr>
      </w:pPr>
      <w:r w:rsidRPr="002664D6">
        <w:rPr>
          <w:bCs/>
          <w:lang w:val="en-US"/>
        </w:rPr>
        <w:t>In section 2 we made the following observations</w:t>
      </w:r>
      <w:r>
        <w:rPr>
          <w:bCs/>
          <w:lang w:val="en-US"/>
        </w:rPr>
        <w:t>:</w:t>
      </w:r>
      <w:r w:rsidR="008E065E" w:rsidRPr="0030769D">
        <w:rPr>
          <w:b/>
          <w:bCs/>
          <w:lang w:val="en-US"/>
        </w:rPr>
        <w:fldChar w:fldCharType="begin"/>
      </w:r>
      <w:r w:rsidR="008E065E" w:rsidRPr="00936C1E">
        <w:rPr>
          <w:b/>
          <w:bCs/>
          <w:lang w:val="en-US"/>
        </w:rPr>
        <w:instrText xml:space="preserve"> TOC \f \n \t "Observation;1" </w:instrText>
      </w:r>
      <w:r w:rsidR="008E065E" w:rsidRPr="0030769D">
        <w:rPr>
          <w:b/>
          <w:bCs/>
          <w:lang w:val="en-US"/>
        </w:rPr>
        <w:fldChar w:fldCharType="separate"/>
      </w:r>
    </w:p>
    <w:p w14:paraId="2AEBAE97" w14:textId="77777777" w:rsidR="00594B76" w:rsidRPr="00594B76" w:rsidRDefault="00594B76">
      <w:pPr>
        <w:pStyle w:val="TOC1"/>
        <w:rPr>
          <w:rFonts w:asciiTheme="minorHAnsi" w:eastAsiaTheme="minorEastAsia" w:hAnsiTheme="minorHAnsi" w:cstheme="minorBidi"/>
          <w:b w:val="0"/>
          <w:sz w:val="22"/>
        </w:rPr>
      </w:pPr>
      <w:r w:rsidRPr="00052EFA">
        <w:lastRenderedPageBreak/>
        <w:t>Observation 1</w:t>
      </w:r>
      <w:r w:rsidRPr="00594B76">
        <w:rPr>
          <w:rFonts w:asciiTheme="minorHAnsi" w:eastAsiaTheme="minorEastAsia" w:hAnsiTheme="minorHAnsi" w:cstheme="minorBidi"/>
          <w:b w:val="0"/>
          <w:sz w:val="22"/>
        </w:rPr>
        <w:tab/>
      </w:r>
      <w:r w:rsidRPr="00052EFA">
        <w:t>In LTE, it is an effective mean for the UE MAC entity to release its SR resources, and recover the SR transmission by initiating a RACH procedure when the UE has transmitted SR for maximum amount times.</w:t>
      </w:r>
    </w:p>
    <w:p w14:paraId="2E959965" w14:textId="77777777" w:rsidR="00594B76" w:rsidRPr="00594B76" w:rsidRDefault="00594B76">
      <w:pPr>
        <w:pStyle w:val="TOC1"/>
        <w:rPr>
          <w:rFonts w:asciiTheme="minorHAnsi" w:eastAsiaTheme="minorEastAsia" w:hAnsiTheme="minorHAnsi" w:cstheme="minorBidi"/>
          <w:b w:val="0"/>
          <w:sz w:val="22"/>
        </w:rPr>
      </w:pPr>
      <w:r w:rsidRPr="00052EFA">
        <w:t>Observation 2</w:t>
      </w:r>
      <w:r w:rsidRPr="00594B76">
        <w:rPr>
          <w:rFonts w:asciiTheme="minorHAnsi" w:eastAsiaTheme="minorEastAsia" w:hAnsiTheme="minorHAnsi" w:cstheme="minorBidi"/>
          <w:b w:val="0"/>
          <w:sz w:val="22"/>
        </w:rPr>
        <w:tab/>
      </w:r>
      <w:r w:rsidRPr="00052EFA">
        <w:t>In NR, multiple SR configurations are used to distinguish the “numerology/TTI type” of associated LCHs that trigger SR.</w:t>
      </w:r>
    </w:p>
    <w:p w14:paraId="3C2A768F" w14:textId="77777777" w:rsidR="00594B76" w:rsidRPr="00594B76" w:rsidRDefault="00594B76">
      <w:pPr>
        <w:pStyle w:val="TOC1"/>
        <w:rPr>
          <w:rFonts w:asciiTheme="minorHAnsi" w:eastAsiaTheme="minorEastAsia" w:hAnsiTheme="minorHAnsi" w:cstheme="minorBidi"/>
          <w:b w:val="0"/>
          <w:sz w:val="22"/>
        </w:rPr>
      </w:pPr>
      <w:r w:rsidRPr="00052EFA">
        <w:t>Observation 3</w:t>
      </w:r>
      <w:r w:rsidRPr="00594B76">
        <w:rPr>
          <w:rFonts w:asciiTheme="minorHAnsi" w:eastAsiaTheme="minorEastAsia" w:hAnsiTheme="minorHAnsi" w:cstheme="minorBidi"/>
          <w:b w:val="0"/>
          <w:sz w:val="22"/>
        </w:rPr>
        <w:tab/>
      </w:r>
      <w:r w:rsidRPr="00052EFA">
        <w:t>In NR, the SR performance difference in terms of transmission reliability between SR resources is unknown to the UE MAC entity.</w:t>
      </w:r>
    </w:p>
    <w:p w14:paraId="082647C2" w14:textId="77777777" w:rsidR="008E065E" w:rsidRPr="00936C1E" w:rsidRDefault="008E065E" w:rsidP="008E065E">
      <w:pPr>
        <w:pStyle w:val="BodyText"/>
        <w:rPr>
          <w:b/>
          <w:bCs/>
          <w:lang w:val="en-US"/>
        </w:rPr>
      </w:pPr>
      <w:r w:rsidRPr="0030769D">
        <w:rPr>
          <w:b/>
          <w:bCs/>
          <w:lang w:val="en-US"/>
        </w:rPr>
        <w:fldChar w:fldCharType="end"/>
      </w:r>
    </w:p>
    <w:p w14:paraId="52B36722" w14:textId="4BF60D47" w:rsidR="002664D6" w:rsidRDefault="002664D6" w:rsidP="008E065E">
      <w:pPr>
        <w:pStyle w:val="BodyText"/>
        <w:rPr>
          <w:lang w:val="en-US"/>
        </w:rPr>
      </w:pPr>
      <w:r w:rsidRPr="002664D6">
        <w:rPr>
          <w:lang w:val="en-US"/>
        </w:rPr>
        <w:t>Based on the discussion in section 2 we propose the following:</w:t>
      </w:r>
    </w:p>
    <w:p w14:paraId="7A82C4C5" w14:textId="77777777" w:rsidR="00594B76" w:rsidRPr="00594B76" w:rsidRDefault="008E065E">
      <w:pPr>
        <w:pStyle w:val="TOC1"/>
        <w:rPr>
          <w:rFonts w:asciiTheme="minorHAnsi" w:eastAsiaTheme="minorEastAsia" w:hAnsiTheme="minorHAnsi" w:cstheme="minorBidi"/>
          <w:b w:val="0"/>
          <w:sz w:val="22"/>
        </w:rPr>
      </w:pPr>
      <w:r w:rsidRPr="002664D6">
        <w:rPr>
          <w:b w:val="0"/>
          <w:bCs/>
          <w:noProof w:val="0"/>
        </w:rPr>
        <w:fldChar w:fldCharType="begin"/>
      </w:r>
      <w:r w:rsidRPr="00936C1E">
        <w:rPr>
          <w:bCs/>
          <w:noProof w:val="0"/>
        </w:rPr>
        <w:instrText xml:space="preserve"> TOC \f \n \p " " \t "Proposal;1" </w:instrText>
      </w:r>
      <w:r w:rsidRPr="002664D6">
        <w:rPr>
          <w:b w:val="0"/>
          <w:bCs/>
          <w:noProof w:val="0"/>
        </w:rPr>
        <w:fldChar w:fldCharType="separate"/>
      </w:r>
      <w:r w:rsidR="00594B76" w:rsidRPr="00412F79">
        <w:t>Proposal 1</w:t>
      </w:r>
      <w:r w:rsidR="00594B76" w:rsidRPr="00594B76">
        <w:rPr>
          <w:rFonts w:asciiTheme="minorHAnsi" w:eastAsiaTheme="minorEastAsia" w:hAnsiTheme="minorHAnsi" w:cstheme="minorBidi"/>
          <w:b w:val="0"/>
          <w:sz w:val="22"/>
        </w:rPr>
        <w:tab/>
      </w:r>
      <w:r w:rsidR="00594B76" w:rsidRPr="00412F79">
        <w:t xml:space="preserve">For an SR configuration, when the UE MAC entity reaches its maximum transmission attempts, i.e., </w:t>
      </w:r>
      <w:r w:rsidR="00594B76" w:rsidRPr="00412F79">
        <w:rPr>
          <w:rFonts w:cs="Arial"/>
          <w:lang w:eastAsia="ja-JP"/>
        </w:rPr>
        <w:t xml:space="preserve">SR_COUNTER reaches </w:t>
      </w:r>
      <w:r w:rsidR="00594B76" w:rsidRPr="00412F79">
        <w:rPr>
          <w:rFonts w:cs="Arial"/>
          <w:i/>
          <w:lang w:eastAsia="ja-JP"/>
        </w:rPr>
        <w:t xml:space="preserve">dsr-TransMax, </w:t>
      </w:r>
      <w:r w:rsidR="00594B76" w:rsidRPr="00412F79">
        <w:rPr>
          <w:rFonts w:cs="Arial"/>
          <w:lang w:eastAsia="ja-JP"/>
        </w:rPr>
        <w:t>the UE MAC entity performs the same actions as LTE regardless of how many SR configurations that the UE supports, i.e.,</w:t>
      </w:r>
    </w:p>
    <w:p w14:paraId="05C3BAAC" w14:textId="77777777" w:rsidR="00594B76" w:rsidRPr="00594B76" w:rsidRDefault="00594B76">
      <w:pPr>
        <w:pStyle w:val="TOC1"/>
        <w:rPr>
          <w:rFonts w:asciiTheme="minorHAnsi" w:eastAsiaTheme="minorEastAsia" w:hAnsiTheme="minorHAnsi" w:cstheme="minorBidi"/>
          <w:b w:val="0"/>
          <w:sz w:val="22"/>
        </w:rPr>
      </w:pPr>
      <w:r w:rsidRPr="00412F79">
        <w:rPr>
          <w:rFonts w:ascii="Symbol" w:hAnsi="Symbol"/>
          <w:b w:val="0"/>
        </w:rPr>
        <w:t></w:t>
      </w:r>
      <w:r w:rsidRPr="00594B76">
        <w:rPr>
          <w:rFonts w:asciiTheme="minorHAnsi" w:eastAsiaTheme="minorEastAsia" w:hAnsiTheme="minorHAnsi" w:cstheme="minorBidi"/>
          <w:b w:val="0"/>
          <w:sz w:val="22"/>
        </w:rPr>
        <w:tab/>
      </w:r>
      <w:r w:rsidRPr="00412F79">
        <w:rPr>
          <w:lang w:eastAsia="ja-JP"/>
        </w:rPr>
        <w:t>notify RRC to release PUCCH for all serving cells;</w:t>
      </w:r>
    </w:p>
    <w:p w14:paraId="40DD0AC3" w14:textId="77777777" w:rsidR="00594B76" w:rsidRPr="00594B76" w:rsidRDefault="00594B76">
      <w:pPr>
        <w:pStyle w:val="TOC1"/>
        <w:rPr>
          <w:rFonts w:asciiTheme="minorHAnsi" w:eastAsiaTheme="minorEastAsia" w:hAnsiTheme="minorHAnsi" w:cstheme="minorBidi"/>
          <w:b w:val="0"/>
          <w:sz w:val="22"/>
        </w:rPr>
      </w:pPr>
      <w:r w:rsidRPr="00412F79">
        <w:rPr>
          <w:rFonts w:ascii="Symbol" w:hAnsi="Symbol"/>
          <w:b w:val="0"/>
        </w:rPr>
        <w:t></w:t>
      </w:r>
      <w:r w:rsidRPr="00594B76">
        <w:rPr>
          <w:rFonts w:asciiTheme="minorHAnsi" w:eastAsiaTheme="minorEastAsia" w:hAnsiTheme="minorHAnsi" w:cstheme="minorBidi"/>
          <w:b w:val="0"/>
          <w:sz w:val="22"/>
        </w:rPr>
        <w:tab/>
      </w:r>
      <w:r w:rsidRPr="00412F79">
        <w:rPr>
          <w:lang w:eastAsia="ja-JP"/>
        </w:rPr>
        <w:t>notify RRC to release SRS for all serving cells;</w:t>
      </w:r>
    </w:p>
    <w:p w14:paraId="7AF2B01B" w14:textId="77777777" w:rsidR="00594B76" w:rsidRPr="00594B76" w:rsidRDefault="00594B76">
      <w:pPr>
        <w:pStyle w:val="TOC1"/>
        <w:rPr>
          <w:rFonts w:asciiTheme="minorHAnsi" w:eastAsiaTheme="minorEastAsia" w:hAnsiTheme="minorHAnsi" w:cstheme="minorBidi"/>
          <w:b w:val="0"/>
          <w:sz w:val="22"/>
        </w:rPr>
      </w:pPr>
      <w:r w:rsidRPr="00412F79">
        <w:rPr>
          <w:rFonts w:ascii="Symbol" w:hAnsi="Symbol"/>
          <w:b w:val="0"/>
        </w:rPr>
        <w:t></w:t>
      </w:r>
      <w:r w:rsidRPr="00594B76">
        <w:rPr>
          <w:rFonts w:asciiTheme="minorHAnsi" w:eastAsiaTheme="minorEastAsia" w:hAnsiTheme="minorHAnsi" w:cstheme="minorBidi"/>
          <w:b w:val="0"/>
          <w:sz w:val="22"/>
        </w:rPr>
        <w:tab/>
      </w:r>
      <w:r w:rsidRPr="00412F79">
        <w:rPr>
          <w:lang w:eastAsia="ja-JP"/>
        </w:rPr>
        <w:t>clear any configured downlink assignments and uplink grants;</w:t>
      </w:r>
    </w:p>
    <w:p w14:paraId="4B5AF0C5" w14:textId="77777777" w:rsidR="00594B76" w:rsidRPr="00594B76" w:rsidRDefault="00594B76">
      <w:pPr>
        <w:pStyle w:val="TOC1"/>
        <w:rPr>
          <w:rFonts w:asciiTheme="minorHAnsi" w:eastAsiaTheme="minorEastAsia" w:hAnsiTheme="minorHAnsi" w:cstheme="minorBidi"/>
          <w:b w:val="0"/>
          <w:sz w:val="22"/>
        </w:rPr>
      </w:pPr>
      <w:r w:rsidRPr="00412F79">
        <w:rPr>
          <w:rFonts w:ascii="Symbol" w:hAnsi="Symbol"/>
          <w:b w:val="0"/>
        </w:rPr>
        <w:t></w:t>
      </w:r>
      <w:r w:rsidRPr="00594B76">
        <w:rPr>
          <w:rFonts w:asciiTheme="minorHAnsi" w:eastAsiaTheme="minorEastAsia" w:hAnsiTheme="minorHAnsi" w:cstheme="minorBidi"/>
          <w:b w:val="0"/>
          <w:sz w:val="22"/>
        </w:rPr>
        <w:tab/>
      </w:r>
      <w:r w:rsidRPr="00412F79">
        <w:rPr>
          <w:lang w:eastAsia="ja-JP"/>
        </w:rPr>
        <w:t>initiate a Random Access procedure on the SpCell and cancel all pending SRs.</w:t>
      </w:r>
    </w:p>
    <w:p w14:paraId="00CC5D7F" w14:textId="793828D1" w:rsidR="008E065E" w:rsidRPr="00936C1E" w:rsidRDefault="008E065E" w:rsidP="008E065E">
      <w:pPr>
        <w:rPr>
          <w:b/>
          <w:bCs/>
          <w:lang w:val="en-US"/>
        </w:rPr>
      </w:pPr>
      <w:r w:rsidRPr="002664D6">
        <w:rPr>
          <w:b/>
          <w:bCs/>
          <w:lang w:val="en-US"/>
        </w:rPr>
        <w:fldChar w:fldCharType="end"/>
      </w:r>
    </w:p>
    <w:p w14:paraId="1C5F808C" w14:textId="77777777" w:rsidR="00F507D1" w:rsidRPr="00936C1E" w:rsidRDefault="00F507D1" w:rsidP="00CE0424">
      <w:pPr>
        <w:pStyle w:val="Heading1"/>
        <w:rPr>
          <w:lang w:val="en-US"/>
        </w:rPr>
      </w:pPr>
      <w:bookmarkStart w:id="36" w:name="_In-sequence_SDU_delivery"/>
      <w:bookmarkEnd w:id="36"/>
      <w:r w:rsidRPr="00936C1E">
        <w:rPr>
          <w:lang w:val="en-US"/>
        </w:rPr>
        <w:t>References</w:t>
      </w:r>
    </w:p>
    <w:p w14:paraId="16D33E86" w14:textId="5948C3C0" w:rsidR="005F3025" w:rsidRDefault="00DF356A" w:rsidP="00311702">
      <w:pPr>
        <w:pStyle w:val="Reference"/>
        <w:rPr>
          <w:lang w:val="en-US"/>
        </w:rPr>
      </w:pPr>
      <w:bookmarkStart w:id="37" w:name="_Ref174151459"/>
      <w:bookmarkStart w:id="38" w:name="_Ref189809556"/>
      <w:r w:rsidRPr="00936C1E">
        <w:rPr>
          <w:lang w:val="en-US"/>
        </w:rPr>
        <w:t>R2-17</w:t>
      </w:r>
      <w:r w:rsidR="00144534">
        <w:rPr>
          <w:lang w:val="en-US"/>
        </w:rPr>
        <w:t>08196, "</w:t>
      </w:r>
      <w:r w:rsidR="00594B76">
        <w:rPr>
          <w:lang w:val="en-US"/>
        </w:rPr>
        <w:t>O</w:t>
      </w:r>
      <w:r w:rsidR="00144534">
        <w:rPr>
          <w:lang w:val="en-US"/>
        </w:rPr>
        <w:t xml:space="preserve">pen questions for Scheduling Request", </w:t>
      </w:r>
      <w:r w:rsidR="00144534">
        <w:t>Ericsson, RAN2#99, Berlin, Germany, August 21st – 25th 2017</w:t>
      </w:r>
    </w:p>
    <w:p w14:paraId="467A520C" w14:textId="2DDA5879" w:rsidR="00144534" w:rsidRPr="00936C1E" w:rsidRDefault="00144534" w:rsidP="00311702">
      <w:pPr>
        <w:pStyle w:val="Reference"/>
        <w:rPr>
          <w:lang w:val="en-US"/>
        </w:rPr>
      </w:pPr>
      <w:r>
        <w:rPr>
          <w:lang w:val="en-US"/>
        </w:rPr>
        <w:t xml:space="preserve">R2-1708198, "Text proposal for SR", </w:t>
      </w:r>
      <w:r>
        <w:t>Ericsson, RAN2#99, Berlin, Germany, August 21st – 25th 2017</w:t>
      </w:r>
    </w:p>
    <w:bookmarkEnd w:id="37"/>
    <w:bookmarkEnd w:id="38"/>
    <w:p w14:paraId="766CC4C7" w14:textId="77777777" w:rsidR="003A7EF3" w:rsidRPr="00936C1E" w:rsidRDefault="003A7EF3" w:rsidP="00CE0424">
      <w:pPr>
        <w:pStyle w:val="BodyText"/>
        <w:rPr>
          <w:lang w:val="en-US"/>
        </w:rPr>
      </w:pPr>
    </w:p>
    <w:sectPr w:rsidR="003A7EF3" w:rsidRPr="00936C1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E3432" w14:textId="77777777" w:rsidR="004D3FF7" w:rsidRDefault="004D3FF7">
      <w:r>
        <w:separator/>
      </w:r>
    </w:p>
  </w:endnote>
  <w:endnote w:type="continuationSeparator" w:id="0">
    <w:p w14:paraId="4A72D38E" w14:textId="77777777" w:rsidR="004D3FF7" w:rsidRDefault="004D3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10081E" w14:textId="77777777" w:rsidR="004D3FF7" w:rsidRDefault="004D3FF7">
      <w:r>
        <w:separator/>
      </w:r>
    </w:p>
  </w:footnote>
  <w:footnote w:type="continuationSeparator" w:id="0">
    <w:p w14:paraId="433004EC" w14:textId="77777777" w:rsidR="004D3FF7" w:rsidRDefault="004D3F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D0D6A1D"/>
    <w:multiLevelType w:val="hybridMultilevel"/>
    <w:tmpl w:val="E3DE6AC0"/>
    <w:lvl w:ilvl="0" w:tplc="BC8A75F0">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3C4319"/>
    <w:multiLevelType w:val="hybridMultilevel"/>
    <w:tmpl w:val="6C6866B4"/>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8E2A98"/>
    <w:multiLevelType w:val="hybridMultilevel"/>
    <w:tmpl w:val="86E81B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171189"/>
    <w:multiLevelType w:val="hybridMultilevel"/>
    <w:tmpl w:val="CBE218E4"/>
    <w:lvl w:ilvl="0" w:tplc="C0368D34">
      <w:numFmt w:val="bullet"/>
      <w:lvlText w:val="-"/>
      <w:lvlJc w:val="left"/>
      <w:pPr>
        <w:ind w:left="720" w:hanging="360"/>
      </w:pPr>
      <w:rPr>
        <w:rFonts w:ascii="Arial" w:eastAsia="Times New Roman" w:hAnsi="Arial" w:cs="Aria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177715"/>
    <w:multiLevelType w:val="hybridMultilevel"/>
    <w:tmpl w:val="4330FA9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144D13"/>
    <w:multiLevelType w:val="multilevel"/>
    <w:tmpl w:val="1A70A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4"/>
  </w:num>
  <w:num w:numId="2">
    <w:abstractNumId w:val="16"/>
  </w:num>
  <w:num w:numId="3">
    <w:abstractNumId w:val="11"/>
  </w:num>
  <w:num w:numId="4">
    <w:abstractNumId w:val="12"/>
  </w:num>
  <w:num w:numId="5">
    <w:abstractNumId w:val="9"/>
  </w:num>
  <w:num w:numId="6">
    <w:abstractNumId w:val="14"/>
  </w:num>
  <w:num w:numId="7">
    <w:abstractNumId w:val="19"/>
  </w:num>
  <w:num w:numId="8">
    <w:abstractNumId w:val="10"/>
  </w:num>
  <w:num w:numId="9">
    <w:abstractNumId w:val="8"/>
  </w:num>
  <w:num w:numId="10">
    <w:abstractNumId w:val="3"/>
  </w:num>
  <w:num w:numId="11">
    <w:abstractNumId w:val="2"/>
  </w:num>
  <w:num w:numId="12">
    <w:abstractNumId w:val="1"/>
  </w:num>
  <w:num w:numId="13">
    <w:abstractNumId w:val="18"/>
  </w:num>
  <w:num w:numId="14">
    <w:abstractNumId w:val="0"/>
  </w:num>
  <w:num w:numId="15">
    <w:abstractNumId w:val="20"/>
  </w:num>
  <w:num w:numId="16">
    <w:abstractNumId w:val="6"/>
  </w:num>
  <w:num w:numId="17">
    <w:abstractNumId w:val="13"/>
  </w:num>
  <w:num w:numId="18">
    <w:abstractNumId w:val="5"/>
  </w:num>
  <w:num w:numId="19">
    <w:abstractNumId w:val="21"/>
  </w:num>
  <w:num w:numId="20">
    <w:abstractNumId w:val="7"/>
  </w:num>
  <w:num w:numId="21">
    <w:abstractNumId w:val="15"/>
  </w:num>
  <w:num w:numId="2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C25"/>
    <w:rsid w:val="000006E1"/>
    <w:rsid w:val="00002A37"/>
    <w:rsid w:val="000039F4"/>
    <w:rsid w:val="00006446"/>
    <w:rsid w:val="00006896"/>
    <w:rsid w:val="00007CDC"/>
    <w:rsid w:val="00011B28"/>
    <w:rsid w:val="00015D15"/>
    <w:rsid w:val="00020607"/>
    <w:rsid w:val="0002564D"/>
    <w:rsid w:val="00025ECA"/>
    <w:rsid w:val="000325B8"/>
    <w:rsid w:val="00034C15"/>
    <w:rsid w:val="00036BA1"/>
    <w:rsid w:val="00040957"/>
    <w:rsid w:val="000422E2"/>
    <w:rsid w:val="00042F22"/>
    <w:rsid w:val="000444EF"/>
    <w:rsid w:val="00052101"/>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302D"/>
    <w:rsid w:val="000A4A38"/>
    <w:rsid w:val="000A56F2"/>
    <w:rsid w:val="000B2719"/>
    <w:rsid w:val="000B3A8F"/>
    <w:rsid w:val="000B4AB9"/>
    <w:rsid w:val="000B54AB"/>
    <w:rsid w:val="000B58C3"/>
    <w:rsid w:val="000B61E9"/>
    <w:rsid w:val="000C165A"/>
    <w:rsid w:val="000C2E19"/>
    <w:rsid w:val="000D0D07"/>
    <w:rsid w:val="000D3105"/>
    <w:rsid w:val="000D4797"/>
    <w:rsid w:val="000E0527"/>
    <w:rsid w:val="000E1E92"/>
    <w:rsid w:val="000F06D6"/>
    <w:rsid w:val="000F0EB1"/>
    <w:rsid w:val="000F1106"/>
    <w:rsid w:val="000F3BE9"/>
    <w:rsid w:val="000F3F6C"/>
    <w:rsid w:val="000F6DF3"/>
    <w:rsid w:val="001005FF"/>
    <w:rsid w:val="00103565"/>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534"/>
    <w:rsid w:val="00151E23"/>
    <w:rsid w:val="001526E0"/>
    <w:rsid w:val="001551B5"/>
    <w:rsid w:val="001659C1"/>
    <w:rsid w:val="00173A8E"/>
    <w:rsid w:val="00177795"/>
    <w:rsid w:val="0018143F"/>
    <w:rsid w:val="00190AC1"/>
    <w:rsid w:val="00192AEB"/>
    <w:rsid w:val="0019341A"/>
    <w:rsid w:val="001948BC"/>
    <w:rsid w:val="00197DF9"/>
    <w:rsid w:val="001A1987"/>
    <w:rsid w:val="001A2564"/>
    <w:rsid w:val="001A2F64"/>
    <w:rsid w:val="001A6173"/>
    <w:rsid w:val="001A6592"/>
    <w:rsid w:val="001A6CBA"/>
    <w:rsid w:val="001B0D97"/>
    <w:rsid w:val="001B5A5D"/>
    <w:rsid w:val="001C1CE5"/>
    <w:rsid w:val="001C3534"/>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0B1"/>
    <w:rsid w:val="00207FA3"/>
    <w:rsid w:val="00214DA8"/>
    <w:rsid w:val="00215423"/>
    <w:rsid w:val="002158FA"/>
    <w:rsid w:val="00220600"/>
    <w:rsid w:val="002224DB"/>
    <w:rsid w:val="00223FCB"/>
    <w:rsid w:val="002252C3"/>
    <w:rsid w:val="00225C54"/>
    <w:rsid w:val="00227066"/>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64D6"/>
    <w:rsid w:val="00267C83"/>
    <w:rsid w:val="0027144F"/>
    <w:rsid w:val="00271F3A"/>
    <w:rsid w:val="00273278"/>
    <w:rsid w:val="002737F4"/>
    <w:rsid w:val="002805F5"/>
    <w:rsid w:val="00280751"/>
    <w:rsid w:val="0028280A"/>
    <w:rsid w:val="00286ACD"/>
    <w:rsid w:val="002875D6"/>
    <w:rsid w:val="00287838"/>
    <w:rsid w:val="002907B5"/>
    <w:rsid w:val="00292EB7"/>
    <w:rsid w:val="00296227"/>
    <w:rsid w:val="00296F44"/>
    <w:rsid w:val="0029777D"/>
    <w:rsid w:val="002A055E"/>
    <w:rsid w:val="002A1D4E"/>
    <w:rsid w:val="002A2869"/>
    <w:rsid w:val="002B00BB"/>
    <w:rsid w:val="002B24D6"/>
    <w:rsid w:val="002C41E6"/>
    <w:rsid w:val="002D071A"/>
    <w:rsid w:val="002D34B2"/>
    <w:rsid w:val="002D4B09"/>
    <w:rsid w:val="002D7637"/>
    <w:rsid w:val="002E17F2"/>
    <w:rsid w:val="002E7CAE"/>
    <w:rsid w:val="002F2771"/>
    <w:rsid w:val="002F37A9"/>
    <w:rsid w:val="00301CE6"/>
    <w:rsid w:val="0030256B"/>
    <w:rsid w:val="0030501F"/>
    <w:rsid w:val="00307220"/>
    <w:rsid w:val="0030769D"/>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477F9"/>
    <w:rsid w:val="0035491B"/>
    <w:rsid w:val="00357380"/>
    <w:rsid w:val="003602D9"/>
    <w:rsid w:val="003604CE"/>
    <w:rsid w:val="00370E47"/>
    <w:rsid w:val="003742AC"/>
    <w:rsid w:val="00377CE1"/>
    <w:rsid w:val="00385BF0"/>
    <w:rsid w:val="003939FF"/>
    <w:rsid w:val="00394E38"/>
    <w:rsid w:val="003968C6"/>
    <w:rsid w:val="00396920"/>
    <w:rsid w:val="00397E1B"/>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74F7"/>
    <w:rsid w:val="004000E8"/>
    <w:rsid w:val="00402E2B"/>
    <w:rsid w:val="00403586"/>
    <w:rsid w:val="0040512B"/>
    <w:rsid w:val="00405CA5"/>
    <w:rsid w:val="00407CD3"/>
    <w:rsid w:val="00410134"/>
    <w:rsid w:val="00410B72"/>
    <w:rsid w:val="00410F18"/>
    <w:rsid w:val="0041263E"/>
    <w:rsid w:val="00413AAC"/>
    <w:rsid w:val="00421105"/>
    <w:rsid w:val="004242F4"/>
    <w:rsid w:val="00424B74"/>
    <w:rsid w:val="00427248"/>
    <w:rsid w:val="00433F14"/>
    <w:rsid w:val="00437447"/>
    <w:rsid w:val="00441A92"/>
    <w:rsid w:val="00444F56"/>
    <w:rsid w:val="00446488"/>
    <w:rsid w:val="004517AA"/>
    <w:rsid w:val="00452CAC"/>
    <w:rsid w:val="00455E32"/>
    <w:rsid w:val="00457565"/>
    <w:rsid w:val="00457B71"/>
    <w:rsid w:val="004626FF"/>
    <w:rsid w:val="004669E2"/>
    <w:rsid w:val="00470C31"/>
    <w:rsid w:val="004734D0"/>
    <w:rsid w:val="0047556B"/>
    <w:rsid w:val="00477768"/>
    <w:rsid w:val="00492BC5"/>
    <w:rsid w:val="004964F1"/>
    <w:rsid w:val="004A16BC"/>
    <w:rsid w:val="004A2B94"/>
    <w:rsid w:val="004B7C0C"/>
    <w:rsid w:val="004C1368"/>
    <w:rsid w:val="004C2DB9"/>
    <w:rsid w:val="004C3898"/>
    <w:rsid w:val="004D2704"/>
    <w:rsid w:val="004D36B1"/>
    <w:rsid w:val="004D3FF7"/>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506"/>
    <w:rsid w:val="00533C01"/>
    <w:rsid w:val="00534B59"/>
    <w:rsid w:val="00536759"/>
    <w:rsid w:val="00537C62"/>
    <w:rsid w:val="00546970"/>
    <w:rsid w:val="00554E19"/>
    <w:rsid w:val="0056121F"/>
    <w:rsid w:val="005663FA"/>
    <w:rsid w:val="00572505"/>
    <w:rsid w:val="00582809"/>
    <w:rsid w:val="0058798C"/>
    <w:rsid w:val="005900FA"/>
    <w:rsid w:val="005935A4"/>
    <w:rsid w:val="005948C2"/>
    <w:rsid w:val="00594B76"/>
    <w:rsid w:val="00595DCA"/>
    <w:rsid w:val="0059779B"/>
    <w:rsid w:val="005A209A"/>
    <w:rsid w:val="005A662D"/>
    <w:rsid w:val="005B0236"/>
    <w:rsid w:val="005B35D7"/>
    <w:rsid w:val="005B392A"/>
    <w:rsid w:val="005B3AA3"/>
    <w:rsid w:val="005B591A"/>
    <w:rsid w:val="005B6F83"/>
    <w:rsid w:val="005C0E35"/>
    <w:rsid w:val="005C5B90"/>
    <w:rsid w:val="005C74FB"/>
    <w:rsid w:val="005D1602"/>
    <w:rsid w:val="005D71D3"/>
    <w:rsid w:val="005E385F"/>
    <w:rsid w:val="005E5B81"/>
    <w:rsid w:val="005F02B5"/>
    <w:rsid w:val="005F2CB1"/>
    <w:rsid w:val="005F3025"/>
    <w:rsid w:val="005F618C"/>
    <w:rsid w:val="005F70BD"/>
    <w:rsid w:val="0060283C"/>
    <w:rsid w:val="006045C2"/>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1E4"/>
    <w:rsid w:val="00691CAF"/>
    <w:rsid w:val="00695FC2"/>
    <w:rsid w:val="00696949"/>
    <w:rsid w:val="00697052"/>
    <w:rsid w:val="006A46FB"/>
    <w:rsid w:val="006A5E28"/>
    <w:rsid w:val="006A697B"/>
    <w:rsid w:val="006A7AFF"/>
    <w:rsid w:val="006B1816"/>
    <w:rsid w:val="006B1FCF"/>
    <w:rsid w:val="006B2099"/>
    <w:rsid w:val="006B50CF"/>
    <w:rsid w:val="006B5E8B"/>
    <w:rsid w:val="006C03B8"/>
    <w:rsid w:val="006C5EC9"/>
    <w:rsid w:val="006C6059"/>
    <w:rsid w:val="006C7522"/>
    <w:rsid w:val="006D2FD5"/>
    <w:rsid w:val="006D6F08"/>
    <w:rsid w:val="006E062C"/>
    <w:rsid w:val="006E28B7"/>
    <w:rsid w:val="006E3310"/>
    <w:rsid w:val="006E4E39"/>
    <w:rsid w:val="006E565E"/>
    <w:rsid w:val="006E673D"/>
    <w:rsid w:val="006E7D3B"/>
    <w:rsid w:val="006F1B70"/>
    <w:rsid w:val="006F2D23"/>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069E"/>
    <w:rsid w:val="007348B1"/>
    <w:rsid w:val="007362A6"/>
    <w:rsid w:val="00736853"/>
    <w:rsid w:val="00736D7D"/>
    <w:rsid w:val="00740E58"/>
    <w:rsid w:val="007445A0"/>
    <w:rsid w:val="0074524B"/>
    <w:rsid w:val="00747D8B"/>
    <w:rsid w:val="00751228"/>
    <w:rsid w:val="007539CA"/>
    <w:rsid w:val="0075674D"/>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05A2"/>
    <w:rsid w:val="007A1CB3"/>
    <w:rsid w:val="007A306F"/>
    <w:rsid w:val="007A43A6"/>
    <w:rsid w:val="007A512C"/>
    <w:rsid w:val="007A58A6"/>
    <w:rsid w:val="007B3D2D"/>
    <w:rsid w:val="007B50AE"/>
    <w:rsid w:val="007B51DF"/>
    <w:rsid w:val="007C05DD"/>
    <w:rsid w:val="007C2BCF"/>
    <w:rsid w:val="007C3D18"/>
    <w:rsid w:val="007C60BF"/>
    <w:rsid w:val="007C6A07"/>
    <w:rsid w:val="007C75A1"/>
    <w:rsid w:val="007C77A5"/>
    <w:rsid w:val="007D04E5"/>
    <w:rsid w:val="007D5901"/>
    <w:rsid w:val="007D7526"/>
    <w:rsid w:val="007E4610"/>
    <w:rsid w:val="007E4715"/>
    <w:rsid w:val="007E505B"/>
    <w:rsid w:val="007E7091"/>
    <w:rsid w:val="007F04AC"/>
    <w:rsid w:val="00803FAE"/>
    <w:rsid w:val="0080605F"/>
    <w:rsid w:val="0080640D"/>
    <w:rsid w:val="00807786"/>
    <w:rsid w:val="00807E28"/>
    <w:rsid w:val="00811FCB"/>
    <w:rsid w:val="008158D6"/>
    <w:rsid w:val="00817196"/>
    <w:rsid w:val="008235DB"/>
    <w:rsid w:val="00824AB4"/>
    <w:rsid w:val="00825C42"/>
    <w:rsid w:val="00825D25"/>
    <w:rsid w:val="00827D6F"/>
    <w:rsid w:val="008376AC"/>
    <w:rsid w:val="00837BC4"/>
    <w:rsid w:val="008444E8"/>
    <w:rsid w:val="00844E80"/>
    <w:rsid w:val="00846FE7"/>
    <w:rsid w:val="00854F97"/>
    <w:rsid w:val="00856911"/>
    <w:rsid w:val="00860E65"/>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2FC6"/>
    <w:rsid w:val="008F33DC"/>
    <w:rsid w:val="008F477F"/>
    <w:rsid w:val="008F4B4E"/>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2CC9"/>
    <w:rsid w:val="009368F3"/>
    <w:rsid w:val="00936C1E"/>
    <w:rsid w:val="00941636"/>
    <w:rsid w:val="00943742"/>
    <w:rsid w:val="00945C05"/>
    <w:rsid w:val="00946945"/>
    <w:rsid w:val="00947713"/>
    <w:rsid w:val="00950DE7"/>
    <w:rsid w:val="00951636"/>
    <w:rsid w:val="00953920"/>
    <w:rsid w:val="00953D47"/>
    <w:rsid w:val="0095681E"/>
    <w:rsid w:val="009572D4"/>
    <w:rsid w:val="00961921"/>
    <w:rsid w:val="0096430A"/>
    <w:rsid w:val="0096554B"/>
    <w:rsid w:val="0096584A"/>
    <w:rsid w:val="009674F3"/>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2947"/>
    <w:rsid w:val="009B3AC2"/>
    <w:rsid w:val="009B4DF4"/>
    <w:rsid w:val="009B564E"/>
    <w:rsid w:val="009B7E87"/>
    <w:rsid w:val="009C403E"/>
    <w:rsid w:val="009D4FF0"/>
    <w:rsid w:val="009D703C"/>
    <w:rsid w:val="009D718F"/>
    <w:rsid w:val="009E068F"/>
    <w:rsid w:val="009E0FE9"/>
    <w:rsid w:val="009E14E0"/>
    <w:rsid w:val="009E35DB"/>
    <w:rsid w:val="009E47A3"/>
    <w:rsid w:val="009F08F3"/>
    <w:rsid w:val="009F0A3D"/>
    <w:rsid w:val="009F344F"/>
    <w:rsid w:val="00A048A8"/>
    <w:rsid w:val="00A04F49"/>
    <w:rsid w:val="00A105B6"/>
    <w:rsid w:val="00A11D88"/>
    <w:rsid w:val="00A13E54"/>
    <w:rsid w:val="00A17F63"/>
    <w:rsid w:val="00A2052C"/>
    <w:rsid w:val="00A2193B"/>
    <w:rsid w:val="00A2351A"/>
    <w:rsid w:val="00A264A9"/>
    <w:rsid w:val="00A27785"/>
    <w:rsid w:val="00A30187"/>
    <w:rsid w:val="00A3448A"/>
    <w:rsid w:val="00A36297"/>
    <w:rsid w:val="00A41E2B"/>
    <w:rsid w:val="00A44B0B"/>
    <w:rsid w:val="00A45B74"/>
    <w:rsid w:val="00A52E1D"/>
    <w:rsid w:val="00A61499"/>
    <w:rsid w:val="00A62A77"/>
    <w:rsid w:val="00A63483"/>
    <w:rsid w:val="00A6512D"/>
    <w:rsid w:val="00A657D7"/>
    <w:rsid w:val="00A660AC"/>
    <w:rsid w:val="00A664F0"/>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3D40"/>
    <w:rsid w:val="00AB4AB8"/>
    <w:rsid w:val="00AB655E"/>
    <w:rsid w:val="00AC007F"/>
    <w:rsid w:val="00AC2ECD"/>
    <w:rsid w:val="00AC3119"/>
    <w:rsid w:val="00AC49FB"/>
    <w:rsid w:val="00AC5A10"/>
    <w:rsid w:val="00AD0AA3"/>
    <w:rsid w:val="00AD250F"/>
    <w:rsid w:val="00AD3F94"/>
    <w:rsid w:val="00AD4447"/>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2DE"/>
    <w:rsid w:val="00B2763F"/>
    <w:rsid w:val="00B27AAC"/>
    <w:rsid w:val="00B30929"/>
    <w:rsid w:val="00B372AA"/>
    <w:rsid w:val="00B40445"/>
    <w:rsid w:val="00B41888"/>
    <w:rsid w:val="00B45A52"/>
    <w:rsid w:val="00B46175"/>
    <w:rsid w:val="00B54251"/>
    <w:rsid w:val="00B6188F"/>
    <w:rsid w:val="00B664C7"/>
    <w:rsid w:val="00B739F6"/>
    <w:rsid w:val="00B81A6C"/>
    <w:rsid w:val="00B85DE5"/>
    <w:rsid w:val="00B90F73"/>
    <w:rsid w:val="00B93B59"/>
    <w:rsid w:val="00B9406A"/>
    <w:rsid w:val="00B94293"/>
    <w:rsid w:val="00BA2280"/>
    <w:rsid w:val="00BA2A08"/>
    <w:rsid w:val="00BA56D2"/>
    <w:rsid w:val="00BA76E0"/>
    <w:rsid w:val="00BB2A25"/>
    <w:rsid w:val="00BB51E9"/>
    <w:rsid w:val="00BC0FDC"/>
    <w:rsid w:val="00BC3053"/>
    <w:rsid w:val="00BC4D2E"/>
    <w:rsid w:val="00BD48AC"/>
    <w:rsid w:val="00BD5530"/>
    <w:rsid w:val="00BD5F1A"/>
    <w:rsid w:val="00BE01D5"/>
    <w:rsid w:val="00BE1234"/>
    <w:rsid w:val="00BE18C2"/>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21D4"/>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0749"/>
    <w:rsid w:val="00C81568"/>
    <w:rsid w:val="00C9027A"/>
    <w:rsid w:val="00C9068E"/>
    <w:rsid w:val="00C92FA6"/>
    <w:rsid w:val="00C93C4B"/>
    <w:rsid w:val="00C944AB"/>
    <w:rsid w:val="00C95B40"/>
    <w:rsid w:val="00CA1ED8"/>
    <w:rsid w:val="00CA5E34"/>
    <w:rsid w:val="00CB1F63"/>
    <w:rsid w:val="00CB2296"/>
    <w:rsid w:val="00CB3524"/>
    <w:rsid w:val="00CB7170"/>
    <w:rsid w:val="00CC000D"/>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0BF2"/>
    <w:rsid w:val="00D239A7"/>
    <w:rsid w:val="00D23F47"/>
    <w:rsid w:val="00D36E71"/>
    <w:rsid w:val="00D37AE7"/>
    <w:rsid w:val="00D37D87"/>
    <w:rsid w:val="00D40B33"/>
    <w:rsid w:val="00D4318F"/>
    <w:rsid w:val="00D438BF"/>
    <w:rsid w:val="00D440F8"/>
    <w:rsid w:val="00D50F97"/>
    <w:rsid w:val="00D546FF"/>
    <w:rsid w:val="00D559E7"/>
    <w:rsid w:val="00D55AD5"/>
    <w:rsid w:val="00D56BE8"/>
    <w:rsid w:val="00D576CA"/>
    <w:rsid w:val="00D61AF5"/>
    <w:rsid w:val="00D652B5"/>
    <w:rsid w:val="00D66155"/>
    <w:rsid w:val="00D708B0"/>
    <w:rsid w:val="00D74CA6"/>
    <w:rsid w:val="00D77B1D"/>
    <w:rsid w:val="00D8021F"/>
    <w:rsid w:val="00D80383"/>
    <w:rsid w:val="00D823C6"/>
    <w:rsid w:val="00D86CA3"/>
    <w:rsid w:val="00D871CE"/>
    <w:rsid w:val="00D9196D"/>
    <w:rsid w:val="00D92982"/>
    <w:rsid w:val="00D95B83"/>
    <w:rsid w:val="00DA305E"/>
    <w:rsid w:val="00DA5417"/>
    <w:rsid w:val="00DA56E8"/>
    <w:rsid w:val="00DB0A9F"/>
    <w:rsid w:val="00DB377D"/>
    <w:rsid w:val="00DB38AE"/>
    <w:rsid w:val="00DB4EFD"/>
    <w:rsid w:val="00DB575F"/>
    <w:rsid w:val="00DB6C25"/>
    <w:rsid w:val="00DC2D36"/>
    <w:rsid w:val="00DC53EF"/>
    <w:rsid w:val="00DE5608"/>
    <w:rsid w:val="00DE58D0"/>
    <w:rsid w:val="00DE654F"/>
    <w:rsid w:val="00DF0B6E"/>
    <w:rsid w:val="00DF15E0"/>
    <w:rsid w:val="00DF356A"/>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280"/>
    <w:rsid w:val="00EB077B"/>
    <w:rsid w:val="00EB4EA2"/>
    <w:rsid w:val="00EC17D5"/>
    <w:rsid w:val="00EC27C6"/>
    <w:rsid w:val="00EC4207"/>
    <w:rsid w:val="00EC5653"/>
    <w:rsid w:val="00EC71CE"/>
    <w:rsid w:val="00ED1006"/>
    <w:rsid w:val="00EE6805"/>
    <w:rsid w:val="00EF18FE"/>
    <w:rsid w:val="00EF5787"/>
    <w:rsid w:val="00EF60D0"/>
    <w:rsid w:val="00F03E54"/>
    <w:rsid w:val="00F04170"/>
    <w:rsid w:val="00F0528D"/>
    <w:rsid w:val="00F06C67"/>
    <w:rsid w:val="00F06DFD"/>
    <w:rsid w:val="00F071D1"/>
    <w:rsid w:val="00F07533"/>
    <w:rsid w:val="00F10495"/>
    <w:rsid w:val="00F10629"/>
    <w:rsid w:val="00F15FA5"/>
    <w:rsid w:val="00F209B7"/>
    <w:rsid w:val="00F2376F"/>
    <w:rsid w:val="00F243D8"/>
    <w:rsid w:val="00F2621A"/>
    <w:rsid w:val="00F30828"/>
    <w:rsid w:val="00F313D6"/>
    <w:rsid w:val="00F40F0C"/>
    <w:rsid w:val="00F4766C"/>
    <w:rsid w:val="00F507D1"/>
    <w:rsid w:val="00F519CE"/>
    <w:rsid w:val="00F51ADA"/>
    <w:rsid w:val="00F607C5"/>
    <w:rsid w:val="00F60DEA"/>
    <w:rsid w:val="00F6302A"/>
    <w:rsid w:val="00F640CC"/>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283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69E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01D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E01D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E01D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E01D5"/>
    <w:pPr>
      <w:numPr>
        <w:ilvl w:val="2"/>
      </w:numPr>
      <w:spacing w:before="120"/>
      <w:outlineLvl w:val="2"/>
    </w:pPr>
    <w:rPr>
      <w:sz w:val="28"/>
      <w:szCs w:val="28"/>
    </w:rPr>
  </w:style>
  <w:style w:type="paragraph" w:styleId="Heading4">
    <w:name w:val="heading 4"/>
    <w:basedOn w:val="Heading3"/>
    <w:next w:val="Normal"/>
    <w:qFormat/>
    <w:rsid w:val="00BE01D5"/>
    <w:pPr>
      <w:numPr>
        <w:ilvl w:val="3"/>
      </w:numPr>
      <w:outlineLvl w:val="3"/>
    </w:pPr>
    <w:rPr>
      <w:sz w:val="24"/>
      <w:szCs w:val="24"/>
    </w:rPr>
  </w:style>
  <w:style w:type="paragraph" w:styleId="Heading5">
    <w:name w:val="heading 5"/>
    <w:basedOn w:val="Heading4"/>
    <w:next w:val="Normal"/>
    <w:qFormat/>
    <w:rsid w:val="00BE01D5"/>
    <w:pPr>
      <w:numPr>
        <w:ilvl w:val="4"/>
      </w:numPr>
      <w:outlineLvl w:val="4"/>
    </w:pPr>
    <w:rPr>
      <w:sz w:val="22"/>
      <w:szCs w:val="22"/>
    </w:rPr>
  </w:style>
  <w:style w:type="paragraph" w:styleId="Heading6">
    <w:name w:val="heading 6"/>
    <w:basedOn w:val="Normal"/>
    <w:next w:val="Normal"/>
    <w:qFormat/>
    <w:rsid w:val="00BE01D5"/>
    <w:pPr>
      <w:keepNext/>
      <w:keepLines/>
      <w:numPr>
        <w:ilvl w:val="5"/>
        <w:numId w:val="1"/>
      </w:numPr>
      <w:spacing w:before="120"/>
      <w:outlineLvl w:val="5"/>
    </w:pPr>
    <w:rPr>
      <w:rFonts w:cs="Arial"/>
    </w:rPr>
  </w:style>
  <w:style w:type="paragraph" w:styleId="Heading7">
    <w:name w:val="heading 7"/>
    <w:basedOn w:val="Normal"/>
    <w:next w:val="Normal"/>
    <w:qFormat/>
    <w:rsid w:val="00BE01D5"/>
    <w:pPr>
      <w:keepNext/>
      <w:keepLines/>
      <w:numPr>
        <w:ilvl w:val="6"/>
        <w:numId w:val="1"/>
      </w:numPr>
      <w:spacing w:before="120"/>
      <w:outlineLvl w:val="6"/>
    </w:pPr>
    <w:rPr>
      <w:rFonts w:cs="Arial"/>
    </w:rPr>
  </w:style>
  <w:style w:type="paragraph" w:styleId="Heading8">
    <w:name w:val="heading 8"/>
    <w:basedOn w:val="Heading7"/>
    <w:next w:val="Normal"/>
    <w:qFormat/>
    <w:rsid w:val="00BE01D5"/>
    <w:pPr>
      <w:numPr>
        <w:ilvl w:val="7"/>
      </w:numPr>
      <w:outlineLvl w:val="7"/>
    </w:pPr>
  </w:style>
  <w:style w:type="paragraph" w:styleId="Heading9">
    <w:name w:val="heading 9"/>
    <w:basedOn w:val="Heading8"/>
    <w:next w:val="Normal"/>
    <w:qFormat/>
    <w:rsid w:val="00BE01D5"/>
    <w:pPr>
      <w:numPr>
        <w:ilvl w:val="8"/>
      </w:numPr>
      <w:outlineLvl w:val="8"/>
    </w:pPr>
  </w:style>
  <w:style w:type="character" w:default="1" w:styleId="DefaultParagraphFont">
    <w:name w:val="Default Paragraph Font"/>
    <w:uiPriority w:val="1"/>
    <w:semiHidden/>
    <w:unhideWhenUsed/>
    <w:rsid w:val="00BE01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01D5"/>
  </w:style>
  <w:style w:type="paragraph" w:styleId="TOC8">
    <w:name w:val="toc 8"/>
    <w:basedOn w:val="TOC1"/>
    <w:semiHidden/>
    <w:rsid w:val="00BE01D5"/>
    <w:pPr>
      <w:spacing w:before="180"/>
      <w:ind w:left="2693" w:hanging="2693"/>
    </w:pPr>
    <w:rPr>
      <w:b w:val="0"/>
      <w:bCs/>
    </w:rPr>
  </w:style>
  <w:style w:type="paragraph" w:styleId="TOC1">
    <w:name w:val="toc 1"/>
    <w:aliases w:val="Observation TOC2"/>
    <w:uiPriority w:val="39"/>
    <w:rsid w:val="00BE01D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E01D5"/>
    <w:pPr>
      <w:keepNext/>
      <w:keepLines/>
      <w:spacing w:before="180"/>
      <w:jc w:val="center"/>
    </w:pPr>
  </w:style>
  <w:style w:type="paragraph" w:styleId="Caption">
    <w:name w:val="caption"/>
    <w:basedOn w:val="Normal"/>
    <w:next w:val="Normal"/>
    <w:qFormat/>
    <w:rsid w:val="00BE01D5"/>
    <w:pPr>
      <w:spacing w:after="240"/>
      <w:jc w:val="center"/>
    </w:pPr>
    <w:rPr>
      <w:b/>
      <w:bCs/>
    </w:rPr>
  </w:style>
  <w:style w:type="paragraph" w:styleId="TOC5">
    <w:name w:val="toc 5"/>
    <w:aliases w:val="Observation TOC"/>
    <w:basedOn w:val="TOC4"/>
    <w:semiHidden/>
    <w:rsid w:val="00BE01D5"/>
    <w:pPr>
      <w:tabs>
        <w:tab w:val="right" w:pos="1701"/>
      </w:tabs>
      <w:ind w:left="1701" w:hanging="1701"/>
    </w:pPr>
  </w:style>
  <w:style w:type="paragraph" w:styleId="TOC4">
    <w:name w:val="toc 4"/>
    <w:basedOn w:val="TOC3"/>
    <w:semiHidden/>
    <w:rsid w:val="00BE01D5"/>
    <w:pPr>
      <w:ind w:left="1418" w:hanging="1418"/>
    </w:pPr>
  </w:style>
  <w:style w:type="paragraph" w:styleId="TOC3">
    <w:name w:val="toc 3"/>
    <w:basedOn w:val="TOC2"/>
    <w:semiHidden/>
    <w:rsid w:val="00BE01D5"/>
    <w:pPr>
      <w:ind w:left="1134" w:hanging="1134"/>
    </w:pPr>
  </w:style>
  <w:style w:type="paragraph" w:styleId="TOC2">
    <w:name w:val="toc 2"/>
    <w:basedOn w:val="TOC1"/>
    <w:semiHidden/>
    <w:rsid w:val="00BE01D5"/>
    <w:pPr>
      <w:keepNext w:val="0"/>
      <w:spacing w:before="0"/>
      <w:ind w:left="851" w:hanging="851"/>
    </w:pPr>
    <w:rPr>
      <w:szCs w:val="20"/>
    </w:rPr>
  </w:style>
  <w:style w:type="paragraph" w:styleId="Index2">
    <w:name w:val="index 2"/>
    <w:basedOn w:val="Index1"/>
    <w:semiHidden/>
    <w:rsid w:val="00BE01D5"/>
    <w:pPr>
      <w:ind w:left="284"/>
    </w:pPr>
  </w:style>
  <w:style w:type="paragraph" w:styleId="Index1">
    <w:name w:val="index 1"/>
    <w:basedOn w:val="Normal"/>
    <w:semiHidden/>
    <w:rsid w:val="00BE01D5"/>
    <w:pPr>
      <w:keepLines/>
      <w:spacing w:after="0"/>
    </w:pPr>
  </w:style>
  <w:style w:type="paragraph" w:styleId="DocumentMap">
    <w:name w:val="Document Map"/>
    <w:basedOn w:val="Normal"/>
    <w:semiHidden/>
    <w:rsid w:val="00BE01D5"/>
    <w:pPr>
      <w:shd w:val="clear" w:color="auto" w:fill="000080"/>
    </w:pPr>
    <w:rPr>
      <w:rFonts w:ascii="Tahoma" w:hAnsi="Tahoma" w:cs="Tahoma"/>
    </w:rPr>
  </w:style>
  <w:style w:type="paragraph" w:styleId="ListNumber2">
    <w:name w:val="List Number 2"/>
    <w:basedOn w:val="ListNumber"/>
    <w:rsid w:val="00BE01D5"/>
    <w:pPr>
      <w:ind w:left="851"/>
    </w:pPr>
  </w:style>
  <w:style w:type="paragraph" w:styleId="ListNumber">
    <w:name w:val="List Number"/>
    <w:basedOn w:val="List"/>
    <w:rsid w:val="00BE01D5"/>
  </w:style>
  <w:style w:type="paragraph" w:styleId="List">
    <w:name w:val="List"/>
    <w:basedOn w:val="Normal"/>
    <w:rsid w:val="00BE01D5"/>
    <w:pPr>
      <w:ind w:left="568" w:hanging="284"/>
    </w:pPr>
  </w:style>
  <w:style w:type="paragraph" w:styleId="Header">
    <w:name w:val="header"/>
    <w:rsid w:val="00BE01D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E01D5"/>
    <w:rPr>
      <w:b/>
      <w:bCs/>
      <w:position w:val="6"/>
      <w:sz w:val="16"/>
      <w:szCs w:val="16"/>
    </w:rPr>
  </w:style>
  <w:style w:type="paragraph" w:styleId="FootnoteText">
    <w:name w:val="footnote text"/>
    <w:basedOn w:val="Normal"/>
    <w:semiHidden/>
    <w:rsid w:val="00BE01D5"/>
    <w:pPr>
      <w:keepLines/>
      <w:spacing w:after="0"/>
      <w:ind w:left="454" w:hanging="454"/>
    </w:pPr>
    <w:rPr>
      <w:sz w:val="16"/>
      <w:szCs w:val="16"/>
    </w:rPr>
  </w:style>
  <w:style w:type="paragraph" w:customStyle="1" w:styleId="3GPPHeader">
    <w:name w:val="3GPP_Header"/>
    <w:basedOn w:val="Normal"/>
    <w:rsid w:val="00BE01D5"/>
    <w:pPr>
      <w:tabs>
        <w:tab w:val="left" w:pos="1701"/>
        <w:tab w:val="right" w:pos="9639"/>
      </w:tabs>
      <w:spacing w:after="240"/>
    </w:pPr>
    <w:rPr>
      <w:b/>
      <w:sz w:val="24"/>
    </w:rPr>
  </w:style>
  <w:style w:type="paragraph" w:styleId="TOC9">
    <w:name w:val="toc 9"/>
    <w:basedOn w:val="TOC8"/>
    <w:semiHidden/>
    <w:rsid w:val="00BE01D5"/>
    <w:pPr>
      <w:ind w:left="1418" w:hanging="1418"/>
    </w:pPr>
  </w:style>
  <w:style w:type="paragraph" w:styleId="TOC6">
    <w:name w:val="toc 6"/>
    <w:basedOn w:val="TOC5"/>
    <w:next w:val="Normal"/>
    <w:semiHidden/>
    <w:rsid w:val="00BE01D5"/>
    <w:pPr>
      <w:ind w:left="1985" w:hanging="1985"/>
    </w:pPr>
  </w:style>
  <w:style w:type="paragraph" w:styleId="TOC7">
    <w:name w:val="toc 7"/>
    <w:basedOn w:val="TOC6"/>
    <w:next w:val="Normal"/>
    <w:semiHidden/>
    <w:rsid w:val="00BE01D5"/>
    <w:pPr>
      <w:ind w:left="2268" w:hanging="2268"/>
    </w:pPr>
  </w:style>
  <w:style w:type="paragraph" w:styleId="ListBullet2">
    <w:name w:val="List Bullet 2"/>
    <w:basedOn w:val="ListBullet"/>
    <w:rsid w:val="00BE01D5"/>
    <w:pPr>
      <w:numPr>
        <w:numId w:val="6"/>
      </w:numPr>
    </w:pPr>
  </w:style>
  <w:style w:type="paragraph" w:styleId="ListBullet">
    <w:name w:val="List Bullet"/>
    <w:basedOn w:val="BodyText"/>
    <w:rsid w:val="00BE01D5"/>
    <w:pPr>
      <w:numPr>
        <w:numId w:val="5"/>
      </w:numPr>
    </w:pPr>
  </w:style>
  <w:style w:type="paragraph" w:styleId="ListBullet3">
    <w:name w:val="List Bullet 3"/>
    <w:basedOn w:val="ListBullet2"/>
    <w:rsid w:val="00BE01D5"/>
    <w:pPr>
      <w:numPr>
        <w:numId w:val="7"/>
      </w:numPr>
    </w:pPr>
  </w:style>
  <w:style w:type="paragraph" w:customStyle="1" w:styleId="EQ">
    <w:name w:val="EQ"/>
    <w:basedOn w:val="Normal"/>
    <w:next w:val="Normal"/>
    <w:rsid w:val="00BE01D5"/>
    <w:pPr>
      <w:keepLines/>
      <w:tabs>
        <w:tab w:val="center" w:pos="4536"/>
        <w:tab w:val="right" w:pos="9072"/>
      </w:tabs>
      <w:spacing w:after="180"/>
      <w:jc w:val="left"/>
    </w:pPr>
    <w:rPr>
      <w:noProof/>
      <w:lang w:eastAsia="en-US"/>
    </w:rPr>
  </w:style>
  <w:style w:type="paragraph" w:styleId="List2">
    <w:name w:val="List 2"/>
    <w:basedOn w:val="List"/>
    <w:rsid w:val="00BE01D5"/>
    <w:pPr>
      <w:ind w:left="851"/>
    </w:pPr>
  </w:style>
  <w:style w:type="paragraph" w:styleId="List3">
    <w:name w:val="List 3"/>
    <w:basedOn w:val="List2"/>
    <w:rsid w:val="00BE01D5"/>
    <w:pPr>
      <w:ind w:left="1135"/>
    </w:pPr>
  </w:style>
  <w:style w:type="paragraph" w:styleId="List4">
    <w:name w:val="List 4"/>
    <w:basedOn w:val="List3"/>
    <w:rsid w:val="00BE01D5"/>
    <w:pPr>
      <w:ind w:left="1418"/>
    </w:pPr>
  </w:style>
  <w:style w:type="paragraph" w:styleId="List5">
    <w:name w:val="List 5"/>
    <w:basedOn w:val="List4"/>
    <w:rsid w:val="00BE01D5"/>
    <w:pPr>
      <w:ind w:left="1702"/>
    </w:pPr>
  </w:style>
  <w:style w:type="paragraph" w:customStyle="1" w:styleId="EditorsNote">
    <w:name w:val="Editor's Note"/>
    <w:basedOn w:val="Normal"/>
    <w:rsid w:val="00BE01D5"/>
    <w:pPr>
      <w:keepLines/>
      <w:spacing w:after="180"/>
      <w:ind w:left="1135" w:hanging="851"/>
      <w:jc w:val="left"/>
    </w:pPr>
    <w:rPr>
      <w:color w:val="FF0000"/>
      <w:lang w:eastAsia="en-US"/>
    </w:rPr>
  </w:style>
  <w:style w:type="paragraph" w:styleId="ListBullet4">
    <w:name w:val="List Bullet 4"/>
    <w:basedOn w:val="ListBullet3"/>
    <w:rsid w:val="00BE01D5"/>
    <w:pPr>
      <w:numPr>
        <w:numId w:val="8"/>
      </w:numPr>
    </w:pPr>
  </w:style>
  <w:style w:type="paragraph" w:styleId="ListBullet5">
    <w:name w:val="List Bullet 5"/>
    <w:basedOn w:val="ListBullet4"/>
    <w:rsid w:val="00BE01D5"/>
    <w:pPr>
      <w:numPr>
        <w:numId w:val="4"/>
      </w:numPr>
    </w:pPr>
  </w:style>
  <w:style w:type="paragraph" w:styleId="Footer">
    <w:name w:val="footer"/>
    <w:basedOn w:val="Header"/>
    <w:semiHidden/>
    <w:rsid w:val="00BE01D5"/>
    <w:pPr>
      <w:jc w:val="center"/>
    </w:pPr>
    <w:rPr>
      <w:i/>
      <w:iCs/>
    </w:rPr>
  </w:style>
  <w:style w:type="paragraph" w:customStyle="1" w:styleId="Reference">
    <w:name w:val="Reference"/>
    <w:basedOn w:val="Normal"/>
    <w:rsid w:val="00BE01D5"/>
    <w:pPr>
      <w:numPr>
        <w:numId w:val="2"/>
      </w:numPr>
    </w:pPr>
  </w:style>
  <w:style w:type="paragraph" w:styleId="BalloonText">
    <w:name w:val="Balloon Text"/>
    <w:basedOn w:val="Normal"/>
    <w:semiHidden/>
    <w:rsid w:val="00BE01D5"/>
    <w:rPr>
      <w:rFonts w:ascii="Tahoma" w:hAnsi="Tahoma" w:cs="Tahoma"/>
      <w:sz w:val="16"/>
      <w:szCs w:val="16"/>
    </w:rPr>
  </w:style>
  <w:style w:type="character" w:styleId="PageNumber">
    <w:name w:val="page number"/>
    <w:basedOn w:val="DefaultParagraphFont"/>
    <w:semiHidden/>
    <w:rsid w:val="00BE01D5"/>
  </w:style>
  <w:style w:type="paragraph" w:styleId="BodyText">
    <w:name w:val="Body Text"/>
    <w:basedOn w:val="Normal"/>
    <w:link w:val="BodyTextChar"/>
    <w:rsid w:val="00BE01D5"/>
  </w:style>
  <w:style w:type="character" w:styleId="Hyperlink">
    <w:name w:val="Hyperlink"/>
    <w:uiPriority w:val="99"/>
    <w:rsid w:val="00BE01D5"/>
    <w:rPr>
      <w:color w:val="0000FF"/>
      <w:u w:val="single"/>
      <w:lang w:val="en-GB"/>
    </w:rPr>
  </w:style>
  <w:style w:type="character" w:styleId="FollowedHyperlink">
    <w:name w:val="FollowedHyperlink"/>
    <w:semiHidden/>
    <w:rsid w:val="00BE01D5"/>
    <w:rPr>
      <w:color w:val="FF0000"/>
      <w:u w:val="single"/>
    </w:rPr>
  </w:style>
  <w:style w:type="character" w:styleId="CommentReference">
    <w:name w:val="annotation reference"/>
    <w:semiHidden/>
    <w:rsid w:val="00BE01D5"/>
    <w:rPr>
      <w:sz w:val="16"/>
      <w:szCs w:val="16"/>
    </w:rPr>
  </w:style>
  <w:style w:type="paragraph" w:styleId="CommentText">
    <w:name w:val="annotation text"/>
    <w:basedOn w:val="Normal"/>
    <w:semiHidden/>
    <w:rsid w:val="00BE01D5"/>
  </w:style>
  <w:style w:type="paragraph" w:styleId="CommentSubject">
    <w:name w:val="annotation subject"/>
    <w:basedOn w:val="CommentText"/>
    <w:next w:val="CommentText"/>
    <w:semiHidden/>
    <w:rsid w:val="00BE01D5"/>
    <w:rPr>
      <w:b/>
      <w:bCs/>
    </w:rPr>
  </w:style>
  <w:style w:type="character" w:customStyle="1" w:styleId="Heading1Char">
    <w:name w:val="Heading 1 Char"/>
    <w:link w:val="Heading1"/>
    <w:rsid w:val="00BE01D5"/>
    <w:rPr>
      <w:rFonts w:ascii="Arial" w:hAnsi="Arial" w:cs="Arial"/>
      <w:sz w:val="36"/>
      <w:szCs w:val="36"/>
      <w:lang w:val="en-GB" w:eastAsia="zh-CN"/>
    </w:rPr>
  </w:style>
  <w:style w:type="paragraph" w:customStyle="1" w:styleId="B1">
    <w:name w:val="B1"/>
    <w:basedOn w:val="List"/>
    <w:rsid w:val="00BE01D5"/>
    <w:pPr>
      <w:spacing w:after="180"/>
      <w:jc w:val="left"/>
    </w:pPr>
    <w:rPr>
      <w:lang w:eastAsia="en-US"/>
    </w:rPr>
  </w:style>
  <w:style w:type="paragraph" w:customStyle="1" w:styleId="B2">
    <w:name w:val="B2"/>
    <w:basedOn w:val="List2"/>
    <w:rsid w:val="00BE01D5"/>
    <w:pPr>
      <w:spacing w:after="180"/>
      <w:jc w:val="left"/>
    </w:pPr>
    <w:rPr>
      <w:lang w:eastAsia="en-US"/>
    </w:rPr>
  </w:style>
  <w:style w:type="paragraph" w:customStyle="1" w:styleId="B3">
    <w:name w:val="B3"/>
    <w:basedOn w:val="List3"/>
    <w:rsid w:val="00BE01D5"/>
    <w:pPr>
      <w:spacing w:after="180"/>
      <w:jc w:val="left"/>
    </w:pPr>
    <w:rPr>
      <w:lang w:eastAsia="en-US"/>
    </w:rPr>
  </w:style>
  <w:style w:type="paragraph" w:customStyle="1" w:styleId="B4">
    <w:name w:val="B4"/>
    <w:basedOn w:val="List4"/>
    <w:rsid w:val="00BE01D5"/>
    <w:pPr>
      <w:spacing w:after="180"/>
      <w:jc w:val="left"/>
    </w:pPr>
    <w:rPr>
      <w:lang w:eastAsia="en-US"/>
    </w:rPr>
  </w:style>
  <w:style w:type="paragraph" w:customStyle="1" w:styleId="Proposal">
    <w:name w:val="Proposal"/>
    <w:basedOn w:val="Normal"/>
    <w:rsid w:val="00BE01D5"/>
    <w:pPr>
      <w:numPr>
        <w:numId w:val="3"/>
      </w:numPr>
      <w:tabs>
        <w:tab w:val="clear" w:pos="1304"/>
        <w:tab w:val="left" w:pos="1701"/>
      </w:tabs>
      <w:ind w:left="1701" w:hanging="1701"/>
    </w:pPr>
    <w:rPr>
      <w:b/>
      <w:bCs/>
    </w:rPr>
  </w:style>
  <w:style w:type="character" w:customStyle="1" w:styleId="BodyTextChar">
    <w:name w:val="Body Text Char"/>
    <w:link w:val="BodyText"/>
    <w:rsid w:val="00BE01D5"/>
    <w:rPr>
      <w:rFonts w:ascii="Arial" w:hAnsi="Arial"/>
      <w:lang w:val="en-GB" w:eastAsia="zh-CN"/>
    </w:rPr>
  </w:style>
  <w:style w:type="paragraph" w:customStyle="1" w:styleId="B5">
    <w:name w:val="B5"/>
    <w:basedOn w:val="List5"/>
    <w:rsid w:val="00BE01D5"/>
    <w:pPr>
      <w:spacing w:after="180"/>
      <w:jc w:val="left"/>
    </w:pPr>
    <w:rPr>
      <w:lang w:eastAsia="en-US"/>
    </w:rPr>
  </w:style>
  <w:style w:type="paragraph" w:customStyle="1" w:styleId="EX">
    <w:name w:val="EX"/>
    <w:basedOn w:val="Normal"/>
    <w:rsid w:val="00BE01D5"/>
    <w:pPr>
      <w:keepLines/>
      <w:spacing w:after="180"/>
      <w:ind w:left="1702" w:hanging="1418"/>
      <w:jc w:val="left"/>
    </w:pPr>
    <w:rPr>
      <w:lang w:eastAsia="en-US"/>
    </w:rPr>
  </w:style>
  <w:style w:type="paragraph" w:customStyle="1" w:styleId="EW">
    <w:name w:val="EW"/>
    <w:basedOn w:val="EX"/>
    <w:rsid w:val="00BE01D5"/>
    <w:pPr>
      <w:spacing w:after="0"/>
    </w:pPr>
  </w:style>
  <w:style w:type="paragraph" w:customStyle="1" w:styleId="TAL">
    <w:name w:val="TAL"/>
    <w:basedOn w:val="Normal"/>
    <w:rsid w:val="00BE01D5"/>
    <w:pPr>
      <w:keepNext/>
      <w:keepLines/>
      <w:spacing w:after="0"/>
      <w:jc w:val="left"/>
    </w:pPr>
    <w:rPr>
      <w:sz w:val="18"/>
      <w:lang w:eastAsia="en-US"/>
    </w:rPr>
  </w:style>
  <w:style w:type="paragraph" w:customStyle="1" w:styleId="TAC">
    <w:name w:val="TAC"/>
    <w:basedOn w:val="TAL"/>
    <w:rsid w:val="00BE01D5"/>
    <w:pPr>
      <w:jc w:val="center"/>
    </w:pPr>
  </w:style>
  <w:style w:type="paragraph" w:customStyle="1" w:styleId="TAH">
    <w:name w:val="TAH"/>
    <w:basedOn w:val="TAC"/>
    <w:rsid w:val="00BE01D5"/>
    <w:rPr>
      <w:b/>
    </w:rPr>
  </w:style>
  <w:style w:type="paragraph" w:customStyle="1" w:styleId="TAN">
    <w:name w:val="TAN"/>
    <w:basedOn w:val="TAL"/>
    <w:rsid w:val="00BE01D5"/>
    <w:pPr>
      <w:ind w:left="851" w:hanging="851"/>
    </w:pPr>
  </w:style>
  <w:style w:type="paragraph" w:customStyle="1" w:styleId="TAR">
    <w:name w:val="TAR"/>
    <w:basedOn w:val="TAL"/>
    <w:rsid w:val="00BE01D5"/>
    <w:pPr>
      <w:jc w:val="right"/>
    </w:pPr>
  </w:style>
  <w:style w:type="paragraph" w:customStyle="1" w:styleId="TH">
    <w:name w:val="TH"/>
    <w:basedOn w:val="Normal"/>
    <w:rsid w:val="00BE01D5"/>
    <w:pPr>
      <w:keepNext/>
      <w:keepLines/>
      <w:spacing w:before="60" w:after="180"/>
      <w:jc w:val="center"/>
    </w:pPr>
    <w:rPr>
      <w:b/>
      <w:lang w:eastAsia="en-US"/>
    </w:rPr>
  </w:style>
  <w:style w:type="paragraph" w:customStyle="1" w:styleId="TF">
    <w:name w:val="TF"/>
    <w:basedOn w:val="TH"/>
    <w:rsid w:val="00BE01D5"/>
    <w:pPr>
      <w:keepNext w:val="0"/>
      <w:spacing w:before="0" w:after="240"/>
    </w:pPr>
  </w:style>
  <w:style w:type="paragraph" w:customStyle="1" w:styleId="TT">
    <w:name w:val="TT"/>
    <w:basedOn w:val="Heading1"/>
    <w:next w:val="Normal"/>
    <w:rsid w:val="00BE01D5"/>
    <w:pPr>
      <w:numPr>
        <w:numId w:val="0"/>
      </w:numPr>
      <w:ind w:left="1134" w:hanging="1134"/>
      <w:outlineLvl w:val="9"/>
    </w:pPr>
    <w:rPr>
      <w:rFonts w:cs="Times New Roman"/>
      <w:szCs w:val="20"/>
      <w:lang w:eastAsia="en-US"/>
    </w:rPr>
  </w:style>
  <w:style w:type="paragraph" w:customStyle="1" w:styleId="ZA">
    <w:name w:val="ZA"/>
    <w:rsid w:val="00BE01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01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E01D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E01D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E01D5"/>
  </w:style>
  <w:style w:type="paragraph" w:customStyle="1" w:styleId="ZH">
    <w:name w:val="ZH"/>
    <w:rsid w:val="00BE01D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E01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E01D5"/>
    <w:pPr>
      <w:framePr w:hRule="auto" w:wrap="notBeside" w:y="852"/>
    </w:pPr>
    <w:rPr>
      <w:i w:val="0"/>
      <w:sz w:val="40"/>
    </w:rPr>
  </w:style>
  <w:style w:type="paragraph" w:customStyle="1" w:styleId="ZU">
    <w:name w:val="ZU"/>
    <w:rsid w:val="00BE01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E01D5"/>
    <w:pPr>
      <w:framePr w:wrap="notBeside" w:y="16161"/>
    </w:pPr>
  </w:style>
  <w:style w:type="paragraph" w:customStyle="1" w:styleId="FP">
    <w:name w:val="FP"/>
    <w:basedOn w:val="Normal"/>
    <w:rsid w:val="00BE01D5"/>
    <w:pPr>
      <w:spacing w:after="0"/>
      <w:jc w:val="left"/>
    </w:pPr>
    <w:rPr>
      <w:lang w:eastAsia="en-US"/>
    </w:rPr>
  </w:style>
  <w:style w:type="paragraph" w:customStyle="1" w:styleId="Observation">
    <w:name w:val="Observation"/>
    <w:basedOn w:val="Proposal"/>
    <w:qFormat/>
    <w:rsid w:val="00BE01D5"/>
    <w:pPr>
      <w:numPr>
        <w:numId w:val="13"/>
      </w:numPr>
      <w:ind w:left="1701" w:hanging="1701"/>
    </w:pPr>
  </w:style>
  <w:style w:type="paragraph" w:styleId="TableofFigures">
    <w:name w:val="table of figures"/>
    <w:basedOn w:val="Normal"/>
    <w:next w:val="Normal"/>
    <w:uiPriority w:val="99"/>
    <w:rsid w:val="00BE01D5"/>
    <w:pPr>
      <w:ind w:left="1418" w:hanging="1418"/>
      <w:jc w:val="left"/>
    </w:pPr>
    <w:rPr>
      <w:b/>
    </w:rPr>
  </w:style>
  <w:style w:type="paragraph" w:customStyle="1" w:styleId="Doc-text2">
    <w:name w:val="Doc-text2"/>
    <w:basedOn w:val="Normal"/>
    <w:link w:val="Doc-text2Char"/>
    <w:qFormat/>
    <w:rsid w:val="00BE01D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E01D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35214">
      <w:bodyDiv w:val="1"/>
      <w:marLeft w:val="0"/>
      <w:marRight w:val="0"/>
      <w:marTop w:val="0"/>
      <w:marBottom w:val="0"/>
      <w:divBdr>
        <w:top w:val="none" w:sz="0" w:space="0" w:color="auto"/>
        <w:left w:val="none" w:sz="0" w:space="0" w:color="auto"/>
        <w:bottom w:val="none" w:sz="0" w:space="0" w:color="auto"/>
        <w:right w:val="none" w:sz="0" w:space="0" w:color="auto"/>
      </w:divBdr>
      <w:divsChild>
        <w:div w:id="876163592">
          <w:marLeft w:val="0"/>
          <w:marRight w:val="0"/>
          <w:marTop w:val="0"/>
          <w:marBottom w:val="0"/>
          <w:divBdr>
            <w:top w:val="none" w:sz="0" w:space="0" w:color="auto"/>
            <w:left w:val="none" w:sz="0" w:space="0" w:color="auto"/>
            <w:bottom w:val="none" w:sz="0" w:space="0" w:color="auto"/>
            <w:right w:val="none" w:sz="0" w:space="0" w:color="auto"/>
          </w:divBdr>
          <w:divsChild>
            <w:div w:id="1639217562">
              <w:marLeft w:val="0"/>
              <w:marRight w:val="0"/>
              <w:marTop w:val="0"/>
              <w:marBottom w:val="0"/>
              <w:divBdr>
                <w:top w:val="none" w:sz="0" w:space="0" w:color="auto"/>
                <w:left w:val="none" w:sz="0" w:space="0" w:color="auto"/>
                <w:bottom w:val="none" w:sz="0" w:space="0" w:color="auto"/>
                <w:right w:val="none" w:sz="0" w:space="0" w:color="auto"/>
              </w:divBdr>
              <w:divsChild>
                <w:div w:id="1653213254">
                  <w:marLeft w:val="0"/>
                  <w:marRight w:val="0"/>
                  <w:marTop w:val="0"/>
                  <w:marBottom w:val="0"/>
                  <w:divBdr>
                    <w:top w:val="none" w:sz="0" w:space="0" w:color="auto"/>
                    <w:left w:val="none" w:sz="0" w:space="0" w:color="auto"/>
                    <w:bottom w:val="none" w:sz="0" w:space="0" w:color="auto"/>
                    <w:right w:val="none" w:sz="0" w:space="0" w:color="auto"/>
                  </w:divBdr>
                  <w:divsChild>
                    <w:div w:id="773743445">
                      <w:marLeft w:val="0"/>
                      <w:marRight w:val="0"/>
                      <w:marTop w:val="0"/>
                      <w:marBottom w:val="0"/>
                      <w:divBdr>
                        <w:top w:val="none" w:sz="0" w:space="0" w:color="auto"/>
                        <w:left w:val="none" w:sz="0" w:space="0" w:color="auto"/>
                        <w:bottom w:val="none" w:sz="0" w:space="0" w:color="auto"/>
                        <w:right w:val="none" w:sz="0" w:space="0" w:color="auto"/>
                      </w:divBdr>
                      <w:divsChild>
                        <w:div w:id="986783744">
                          <w:marLeft w:val="0"/>
                          <w:marRight w:val="0"/>
                          <w:marTop w:val="0"/>
                          <w:marBottom w:val="0"/>
                          <w:divBdr>
                            <w:top w:val="none" w:sz="0" w:space="0" w:color="auto"/>
                            <w:left w:val="none" w:sz="0" w:space="0" w:color="auto"/>
                            <w:bottom w:val="none" w:sz="0" w:space="0" w:color="auto"/>
                            <w:right w:val="none" w:sz="0" w:space="0" w:color="auto"/>
                          </w:divBdr>
                          <w:divsChild>
                            <w:div w:id="488982094">
                              <w:marLeft w:val="0"/>
                              <w:marRight w:val="0"/>
                              <w:marTop w:val="0"/>
                              <w:marBottom w:val="0"/>
                              <w:divBdr>
                                <w:top w:val="none" w:sz="0" w:space="0" w:color="auto"/>
                                <w:left w:val="none" w:sz="0" w:space="0" w:color="auto"/>
                                <w:bottom w:val="none" w:sz="0" w:space="0" w:color="auto"/>
                                <w:right w:val="none" w:sz="0" w:space="0" w:color="auto"/>
                              </w:divBdr>
                              <w:divsChild>
                                <w:div w:id="602229863">
                                  <w:marLeft w:val="0"/>
                                  <w:marRight w:val="0"/>
                                  <w:marTop w:val="0"/>
                                  <w:marBottom w:val="0"/>
                                  <w:divBdr>
                                    <w:top w:val="none" w:sz="0" w:space="0" w:color="auto"/>
                                    <w:left w:val="none" w:sz="0" w:space="0" w:color="auto"/>
                                    <w:bottom w:val="none" w:sz="0" w:space="0" w:color="auto"/>
                                    <w:right w:val="none" w:sz="0" w:space="0" w:color="auto"/>
                                  </w:divBdr>
                                  <w:divsChild>
                                    <w:div w:id="371350392">
                                      <w:marLeft w:val="0"/>
                                      <w:marRight w:val="0"/>
                                      <w:marTop w:val="0"/>
                                      <w:marBottom w:val="0"/>
                                      <w:divBdr>
                                        <w:top w:val="none" w:sz="0" w:space="0" w:color="auto"/>
                                        <w:left w:val="none" w:sz="0" w:space="0" w:color="auto"/>
                                        <w:bottom w:val="none" w:sz="0" w:space="0" w:color="auto"/>
                                        <w:right w:val="none" w:sz="0" w:space="0" w:color="auto"/>
                                      </w:divBdr>
                                      <w:divsChild>
                                        <w:div w:id="1964578691">
                                          <w:marLeft w:val="0"/>
                                          <w:marRight w:val="0"/>
                                          <w:marTop w:val="0"/>
                                          <w:marBottom w:val="0"/>
                                          <w:divBdr>
                                            <w:top w:val="none" w:sz="0" w:space="0" w:color="auto"/>
                                            <w:left w:val="none" w:sz="0" w:space="0" w:color="auto"/>
                                            <w:bottom w:val="none" w:sz="0" w:space="0" w:color="auto"/>
                                            <w:right w:val="none" w:sz="0" w:space="0" w:color="auto"/>
                                          </w:divBdr>
                                          <w:divsChild>
                                            <w:div w:id="1065181931">
                                              <w:marLeft w:val="0"/>
                                              <w:marRight w:val="0"/>
                                              <w:marTop w:val="0"/>
                                              <w:marBottom w:val="0"/>
                                              <w:divBdr>
                                                <w:top w:val="none" w:sz="0" w:space="0" w:color="auto"/>
                                                <w:left w:val="none" w:sz="0" w:space="0" w:color="auto"/>
                                                <w:bottom w:val="none" w:sz="0" w:space="0" w:color="auto"/>
                                                <w:right w:val="none" w:sz="0" w:space="0" w:color="auto"/>
                                              </w:divBdr>
                                              <w:divsChild>
                                                <w:div w:id="956301994">
                                                  <w:marLeft w:val="0"/>
                                                  <w:marRight w:val="0"/>
                                                  <w:marTop w:val="0"/>
                                                  <w:marBottom w:val="0"/>
                                                  <w:divBdr>
                                                    <w:top w:val="none" w:sz="0" w:space="0" w:color="auto"/>
                                                    <w:left w:val="none" w:sz="0" w:space="0" w:color="auto"/>
                                                    <w:bottom w:val="none" w:sz="0" w:space="0" w:color="auto"/>
                                                    <w:right w:val="none" w:sz="0" w:space="0" w:color="auto"/>
                                                  </w:divBdr>
                                                  <w:divsChild>
                                                    <w:div w:id="350957346">
                                                      <w:marLeft w:val="0"/>
                                                      <w:marRight w:val="0"/>
                                                      <w:marTop w:val="0"/>
                                                      <w:marBottom w:val="0"/>
                                                      <w:divBdr>
                                                        <w:top w:val="none" w:sz="0" w:space="0" w:color="auto"/>
                                                        <w:left w:val="none" w:sz="0" w:space="0" w:color="auto"/>
                                                        <w:bottom w:val="none" w:sz="0" w:space="0" w:color="auto"/>
                                                        <w:right w:val="none" w:sz="0" w:space="0" w:color="auto"/>
                                                      </w:divBdr>
                                                      <w:divsChild>
                                                        <w:div w:id="621881924">
                                                          <w:marLeft w:val="0"/>
                                                          <w:marRight w:val="0"/>
                                                          <w:marTop w:val="450"/>
                                                          <w:marBottom w:val="450"/>
                                                          <w:divBdr>
                                                            <w:top w:val="none" w:sz="0" w:space="0" w:color="auto"/>
                                                            <w:left w:val="none" w:sz="0" w:space="0" w:color="auto"/>
                                                            <w:bottom w:val="none" w:sz="0" w:space="0" w:color="auto"/>
                                                            <w:right w:val="none" w:sz="0" w:space="0" w:color="auto"/>
                                                          </w:divBdr>
                                                          <w:divsChild>
                                                            <w:div w:id="621499589">
                                                              <w:marLeft w:val="0"/>
                                                              <w:marRight w:val="0"/>
                                                              <w:marTop w:val="0"/>
                                                              <w:marBottom w:val="0"/>
                                                              <w:divBdr>
                                                                <w:top w:val="none" w:sz="0" w:space="0" w:color="auto"/>
                                                                <w:left w:val="none" w:sz="0" w:space="0" w:color="auto"/>
                                                                <w:bottom w:val="none" w:sz="0" w:space="0" w:color="auto"/>
                                                                <w:right w:val="none" w:sz="0" w:space="0" w:color="auto"/>
                                                              </w:divBdr>
                                                              <w:divsChild>
                                                                <w:div w:id="934291343">
                                                                  <w:marLeft w:val="0"/>
                                                                  <w:marRight w:val="0"/>
                                                                  <w:marTop w:val="525"/>
                                                                  <w:marBottom w:val="300"/>
                                                                  <w:divBdr>
                                                                    <w:top w:val="single" w:sz="6" w:space="0" w:color="8CE1F5"/>
                                                                    <w:left w:val="single" w:sz="6" w:space="11" w:color="8CE1F5"/>
                                                                    <w:bottom w:val="single" w:sz="6" w:space="0" w:color="8CE1F5"/>
                                                                    <w:right w:val="single" w:sz="6" w:space="11" w:color="8CE1F5"/>
                                                                  </w:divBdr>
                                                                  <w:divsChild>
                                                                    <w:div w:id="393705251">
                                                                      <w:marLeft w:val="0"/>
                                                                      <w:marRight w:val="0"/>
                                                                      <w:marTop w:val="0"/>
                                                                      <w:marBottom w:val="0"/>
                                                                      <w:divBdr>
                                                                        <w:top w:val="none" w:sz="0" w:space="0" w:color="auto"/>
                                                                        <w:left w:val="none" w:sz="0" w:space="0" w:color="auto"/>
                                                                        <w:bottom w:val="none" w:sz="0" w:space="0" w:color="auto"/>
                                                                        <w:right w:val="none" w:sz="0" w:space="0" w:color="auto"/>
                                                                      </w:divBdr>
                                                                      <w:divsChild>
                                                                        <w:div w:id="721826480">
                                                                          <w:marLeft w:val="0"/>
                                                                          <w:marRight w:val="0"/>
                                                                          <w:marTop w:val="0"/>
                                                                          <w:marBottom w:val="0"/>
                                                                          <w:divBdr>
                                                                            <w:top w:val="single" w:sz="6" w:space="11" w:color="8CE1F5"/>
                                                                            <w:left w:val="none" w:sz="0" w:space="0" w:color="auto"/>
                                                                            <w:bottom w:val="none" w:sz="0" w:space="0" w:color="auto"/>
                                                                            <w:right w:val="none" w:sz="0" w:space="0" w:color="auto"/>
                                                                          </w:divBdr>
                                                                          <w:divsChild>
                                                                            <w:div w:id="1364750225">
                                                                              <w:marLeft w:val="0"/>
                                                                              <w:marRight w:val="0"/>
                                                                              <w:marTop w:val="0"/>
                                                                              <w:marBottom w:val="0"/>
                                                                              <w:divBdr>
                                                                                <w:top w:val="none" w:sz="0" w:space="0" w:color="auto"/>
                                                                                <w:left w:val="none" w:sz="0" w:space="0" w:color="auto"/>
                                                                                <w:bottom w:val="none" w:sz="0" w:space="0" w:color="auto"/>
                                                                                <w:right w:val="none" w:sz="0" w:space="0" w:color="auto"/>
                                                                              </w:divBdr>
                                                                              <w:divsChild>
                                                                                <w:div w:id="1991517769">
                                                                                  <w:marLeft w:val="0"/>
                                                                                  <w:marRight w:val="0"/>
                                                                                  <w:marTop w:val="0"/>
                                                                                  <w:marBottom w:val="0"/>
                                                                                  <w:divBdr>
                                                                                    <w:top w:val="none" w:sz="0" w:space="0" w:color="auto"/>
                                                                                    <w:left w:val="none" w:sz="0" w:space="0" w:color="auto"/>
                                                                                    <w:bottom w:val="none" w:sz="0" w:space="0" w:color="auto"/>
                                                                                    <w:right w:val="none" w:sz="0" w:space="0" w:color="auto"/>
                                                                                  </w:divBdr>
                                                                                  <w:divsChild>
                                                                                    <w:div w:id="902258774">
                                                                                      <w:marLeft w:val="0"/>
                                                                                      <w:marRight w:val="0"/>
                                                                                      <w:marTop w:val="0"/>
                                                                                      <w:marBottom w:val="0"/>
                                                                                      <w:divBdr>
                                                                                        <w:top w:val="none" w:sz="0" w:space="0" w:color="auto"/>
                                                                                        <w:left w:val="none" w:sz="0" w:space="0" w:color="auto"/>
                                                                                        <w:bottom w:val="none" w:sz="0" w:space="0" w:color="auto"/>
                                                                                        <w:right w:val="none" w:sz="0" w:space="0" w:color="auto"/>
                                                                                      </w:divBdr>
                                                                                      <w:divsChild>
                                                                                        <w:div w:id="897859830">
                                                                                          <w:marLeft w:val="0"/>
                                                                                          <w:marRight w:val="0"/>
                                                                                          <w:marTop w:val="0"/>
                                                                                          <w:marBottom w:val="0"/>
                                                                                          <w:divBdr>
                                                                                            <w:top w:val="none" w:sz="0" w:space="0" w:color="auto"/>
                                                                                            <w:left w:val="none" w:sz="0" w:space="0" w:color="auto"/>
                                                                                            <w:bottom w:val="none" w:sz="0" w:space="0" w:color="auto"/>
                                                                                            <w:right w:val="none" w:sz="0" w:space="0" w:color="auto"/>
                                                                                          </w:divBdr>
                                                                                          <w:divsChild>
                                                                                            <w:div w:id="1541671051">
                                                                                              <w:marLeft w:val="0"/>
                                                                                              <w:marRight w:val="0"/>
                                                                                              <w:marTop w:val="0"/>
                                                                                              <w:marBottom w:val="220"/>
                                                                                              <w:divBdr>
                                                                                                <w:top w:val="none" w:sz="0" w:space="0" w:color="auto"/>
                                                                                                <w:left w:val="none" w:sz="0" w:space="0" w:color="auto"/>
                                                                                                <w:bottom w:val="none" w:sz="0" w:space="0" w:color="auto"/>
                                                                                                <w:right w:val="none" w:sz="0" w:space="0" w:color="auto"/>
                                                                                              </w:divBdr>
                                                                                              <w:divsChild>
                                                                                                <w:div w:id="2119182388">
                                                                                                  <w:marLeft w:val="0"/>
                                                                                                  <w:marRight w:val="0"/>
                                                                                                  <w:marTop w:val="0"/>
                                                                                                  <w:marBottom w:val="220"/>
                                                                                                  <w:divBdr>
                                                                                                    <w:top w:val="none" w:sz="0" w:space="0" w:color="auto"/>
                                                                                                    <w:left w:val="none" w:sz="0" w:space="0" w:color="auto"/>
                                                                                                    <w:bottom w:val="none" w:sz="0" w:space="0" w:color="auto"/>
                                                                                                    <w:right w:val="none" w:sz="0" w:space="0" w:color="auto"/>
                                                                                                  </w:divBdr>
                                                                                                  <w:divsChild>
                                                                                                    <w:div w:id="118463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357739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5B39A-73B0-4A3C-AED9-F08132E85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1068</Words>
  <Characters>5664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2017-08-11T20:21:00Z</dcterms:created>
  <dcterms:modified xsi:type="dcterms:W3CDTF">2017-08-11T20:21:00Z</dcterms:modified>
</cp:coreProperties>
</file>